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17D" w:rsidRPr="00CD517D" w:rsidRDefault="00CD517D" w:rsidP="00B71159">
      <w:pPr>
        <w:spacing w:line="240" w:lineRule="auto"/>
        <w:jc w:val="center"/>
        <w:rPr>
          <w:rFonts w:ascii="Arial" w:hAnsi="Arial" w:cs="Arial"/>
          <w:b/>
        </w:rPr>
      </w:pPr>
      <w:r w:rsidRPr="00CD517D">
        <w:rPr>
          <w:rFonts w:ascii="Arial" w:hAnsi="Arial" w:cs="Arial"/>
          <w:b/>
        </w:rPr>
        <w:t>Benefits Strategies</w:t>
      </w:r>
    </w:p>
    <w:p w:rsidR="00B71159" w:rsidRDefault="003440B3" w:rsidP="00B71159">
      <w:pPr>
        <w:spacing w:line="240" w:lineRule="auto"/>
        <w:rPr>
          <w:rFonts w:ascii="Arial" w:hAnsi="Arial" w:cs="Arial"/>
        </w:rPr>
      </w:pPr>
      <w:r>
        <w:rPr>
          <w:rFonts w:ascii="Arial" w:hAnsi="Arial" w:cs="Arial"/>
        </w:rPr>
        <w:t>The Boards’ joint benefits s</w:t>
      </w:r>
      <w:r w:rsidR="00CD517D" w:rsidRPr="00CD517D">
        <w:rPr>
          <w:rFonts w:ascii="Arial" w:hAnsi="Arial" w:cs="Arial"/>
        </w:rPr>
        <w:t>trategy is to maintain a benefit program that is slightly abov</w:t>
      </w:r>
      <w:r>
        <w:rPr>
          <w:rFonts w:ascii="Arial" w:hAnsi="Arial" w:cs="Arial"/>
        </w:rPr>
        <w:t>e that of our adopted market.</w:t>
      </w:r>
    </w:p>
    <w:p w:rsidR="00CD517D" w:rsidRPr="00CD517D" w:rsidRDefault="00CD517D" w:rsidP="00B71159">
      <w:pPr>
        <w:spacing w:line="240" w:lineRule="auto"/>
        <w:rPr>
          <w:rFonts w:ascii="Arial" w:hAnsi="Arial" w:cs="Arial"/>
          <w:u w:val="single"/>
        </w:rPr>
      </w:pPr>
      <w:r w:rsidRPr="00CD517D">
        <w:rPr>
          <w:rFonts w:ascii="Arial" w:hAnsi="Arial" w:cs="Arial"/>
          <w:b/>
          <w:u w:val="single"/>
        </w:rPr>
        <w:t xml:space="preserve">Medical Insurance </w:t>
      </w:r>
    </w:p>
    <w:p w:rsidR="00CD517D" w:rsidRPr="00CD517D" w:rsidRDefault="00CD517D" w:rsidP="005862E5">
      <w:pPr>
        <w:spacing w:line="240" w:lineRule="auto"/>
        <w:jc w:val="both"/>
        <w:rPr>
          <w:rFonts w:ascii="Arial" w:hAnsi="Arial" w:cs="Arial"/>
        </w:rPr>
      </w:pPr>
      <w:r w:rsidRPr="00CD517D">
        <w:rPr>
          <w:rFonts w:ascii="Arial" w:hAnsi="Arial" w:cs="Arial"/>
        </w:rPr>
        <w:t>The Health Care Executive Committee (HCEC) is comprised of representative staff from several departments in the School Division and Local Government, as well as members from other affiliated organizations who participate in our health and dental plans.  The HCEC develops recommendations for our medical and dental plans based on the following objectives:</w:t>
      </w:r>
    </w:p>
    <w:p w:rsidR="00CD517D" w:rsidRPr="00CD517D" w:rsidRDefault="00CD517D" w:rsidP="00B71159">
      <w:pPr>
        <w:pStyle w:val="ListParagraph"/>
        <w:numPr>
          <w:ilvl w:val="0"/>
          <w:numId w:val="4"/>
        </w:numPr>
        <w:spacing w:line="240" w:lineRule="auto"/>
        <w:rPr>
          <w:rFonts w:ascii="Arial" w:hAnsi="Arial" w:cs="Arial"/>
        </w:rPr>
      </w:pPr>
      <w:r>
        <w:rPr>
          <w:rFonts w:ascii="Arial" w:hAnsi="Arial" w:cs="Arial"/>
        </w:rPr>
        <w:t>O</w:t>
      </w:r>
      <w:r w:rsidRPr="00CD517D">
        <w:rPr>
          <w:rFonts w:ascii="Arial" w:hAnsi="Arial" w:cs="Arial"/>
        </w:rPr>
        <w:t>ffer affordable options that meet varying needs of employees and their families</w:t>
      </w:r>
    </w:p>
    <w:p w:rsidR="00CD517D" w:rsidRPr="00CD517D" w:rsidRDefault="00CD517D" w:rsidP="00B71159">
      <w:pPr>
        <w:pStyle w:val="ListParagraph"/>
        <w:numPr>
          <w:ilvl w:val="0"/>
          <w:numId w:val="4"/>
        </w:numPr>
        <w:spacing w:line="240" w:lineRule="auto"/>
        <w:rPr>
          <w:rFonts w:ascii="Arial" w:hAnsi="Arial" w:cs="Arial"/>
        </w:rPr>
      </w:pPr>
      <w:r>
        <w:rPr>
          <w:rFonts w:ascii="Arial" w:hAnsi="Arial" w:cs="Arial"/>
        </w:rPr>
        <w:t>M</w:t>
      </w:r>
      <w:r w:rsidRPr="00CD517D">
        <w:rPr>
          <w:rFonts w:ascii="Arial" w:hAnsi="Arial" w:cs="Arial"/>
        </w:rPr>
        <w:t>aintain reserves</w:t>
      </w:r>
      <w:r w:rsidR="003440B3">
        <w:rPr>
          <w:rFonts w:ascii="Arial" w:hAnsi="Arial" w:cs="Arial"/>
        </w:rPr>
        <w:t xml:space="preserve"> at approximately 25% of claims</w:t>
      </w:r>
    </w:p>
    <w:p w:rsidR="00CD517D" w:rsidRPr="00CD517D" w:rsidRDefault="00CD517D" w:rsidP="00B71159">
      <w:pPr>
        <w:pStyle w:val="ListParagraph"/>
        <w:numPr>
          <w:ilvl w:val="0"/>
          <w:numId w:val="4"/>
        </w:numPr>
        <w:spacing w:line="240" w:lineRule="auto"/>
        <w:rPr>
          <w:rFonts w:ascii="Arial" w:hAnsi="Arial" w:cs="Arial"/>
        </w:rPr>
      </w:pPr>
      <w:r>
        <w:rPr>
          <w:rFonts w:ascii="Arial" w:hAnsi="Arial" w:cs="Arial"/>
        </w:rPr>
        <w:t>E</w:t>
      </w:r>
      <w:r w:rsidRPr="00CD517D">
        <w:rPr>
          <w:rFonts w:ascii="Arial" w:hAnsi="Arial" w:cs="Arial"/>
        </w:rPr>
        <w:t>nsure plans are in compliance with Health Care Reform</w:t>
      </w:r>
    </w:p>
    <w:p w:rsidR="00CD517D" w:rsidRDefault="00CD517D" w:rsidP="00B71159">
      <w:pPr>
        <w:pStyle w:val="ListParagraph"/>
        <w:numPr>
          <w:ilvl w:val="0"/>
          <w:numId w:val="4"/>
        </w:numPr>
        <w:spacing w:line="240" w:lineRule="auto"/>
        <w:rPr>
          <w:rFonts w:ascii="Arial" w:hAnsi="Arial" w:cs="Arial"/>
        </w:rPr>
      </w:pPr>
      <w:r>
        <w:rPr>
          <w:rFonts w:ascii="Arial" w:hAnsi="Arial" w:cs="Arial"/>
        </w:rPr>
        <w:t>M</w:t>
      </w:r>
      <w:r w:rsidRPr="00CD517D">
        <w:rPr>
          <w:rFonts w:ascii="Arial" w:hAnsi="Arial" w:cs="Arial"/>
        </w:rPr>
        <w:t>aintain our competitive position for benefits (slightly above market)</w:t>
      </w:r>
    </w:p>
    <w:p w:rsidR="00CD517D" w:rsidRPr="00CD517D" w:rsidRDefault="00CD517D" w:rsidP="00B71159">
      <w:pPr>
        <w:spacing w:line="240" w:lineRule="auto"/>
        <w:rPr>
          <w:rFonts w:ascii="Arial" w:hAnsi="Arial" w:cs="Arial"/>
          <w:b/>
          <w:u w:val="single"/>
        </w:rPr>
      </w:pPr>
      <w:r w:rsidRPr="00CD517D">
        <w:rPr>
          <w:rFonts w:ascii="Arial" w:hAnsi="Arial" w:cs="Arial"/>
          <w:b/>
          <w:u w:val="single"/>
        </w:rPr>
        <w:t>Plan Review Process</w:t>
      </w:r>
    </w:p>
    <w:p w:rsidR="00CD517D" w:rsidRPr="00CD517D" w:rsidRDefault="00CD517D" w:rsidP="005862E5">
      <w:pPr>
        <w:spacing w:line="240" w:lineRule="auto"/>
        <w:jc w:val="both"/>
        <w:rPr>
          <w:rFonts w:ascii="Arial" w:hAnsi="Arial" w:cs="Arial"/>
        </w:rPr>
      </w:pPr>
      <w:r w:rsidRPr="00CD517D">
        <w:rPr>
          <w:rFonts w:ascii="Arial" w:hAnsi="Arial" w:cs="Arial"/>
        </w:rPr>
        <w:t>The HCEC works routinely with KSPH Employee Benefit Management to review our health care plan. This includes:</w:t>
      </w:r>
    </w:p>
    <w:p w:rsidR="00CD517D" w:rsidRPr="00CD517D" w:rsidRDefault="00CD517D" w:rsidP="00B71159">
      <w:pPr>
        <w:pStyle w:val="ListParagraph"/>
        <w:numPr>
          <w:ilvl w:val="0"/>
          <w:numId w:val="5"/>
        </w:numPr>
        <w:spacing w:line="240" w:lineRule="auto"/>
        <w:rPr>
          <w:rFonts w:ascii="Arial" w:hAnsi="Arial" w:cs="Arial"/>
        </w:rPr>
      </w:pPr>
      <w:r w:rsidRPr="00CD517D">
        <w:rPr>
          <w:rFonts w:ascii="Arial" w:hAnsi="Arial" w:cs="Arial"/>
        </w:rPr>
        <w:t>Detailed reviews of claims utilization with Coventry’s medical director</w:t>
      </w:r>
    </w:p>
    <w:p w:rsidR="00CD517D" w:rsidRDefault="00CD517D" w:rsidP="00B71159">
      <w:pPr>
        <w:pStyle w:val="ListParagraph"/>
        <w:numPr>
          <w:ilvl w:val="0"/>
          <w:numId w:val="5"/>
        </w:numPr>
        <w:spacing w:line="240" w:lineRule="auto"/>
        <w:rPr>
          <w:rFonts w:ascii="Arial" w:hAnsi="Arial" w:cs="Arial"/>
        </w:rPr>
      </w:pPr>
      <w:r w:rsidRPr="00CD517D">
        <w:rPr>
          <w:rFonts w:ascii="Arial" w:hAnsi="Arial" w:cs="Arial"/>
        </w:rPr>
        <w:t>Analysis of market information on plan design a</w:t>
      </w:r>
      <w:r w:rsidR="003440B3">
        <w:rPr>
          <w:rFonts w:ascii="Arial" w:hAnsi="Arial" w:cs="Arial"/>
        </w:rPr>
        <w:t>nd employee/employer premiums</w:t>
      </w:r>
    </w:p>
    <w:p w:rsidR="00CD517D" w:rsidRPr="00CD517D" w:rsidRDefault="003440B3" w:rsidP="00B71159">
      <w:pPr>
        <w:pStyle w:val="ListParagraph"/>
        <w:numPr>
          <w:ilvl w:val="0"/>
          <w:numId w:val="5"/>
        </w:numPr>
        <w:spacing w:line="240" w:lineRule="auto"/>
        <w:rPr>
          <w:rFonts w:ascii="Arial" w:hAnsi="Arial" w:cs="Arial"/>
        </w:rPr>
      </w:pPr>
      <w:r>
        <w:rPr>
          <w:rFonts w:ascii="Arial" w:hAnsi="Arial" w:cs="Arial"/>
        </w:rPr>
        <w:t>Plan design, including</w:t>
      </w:r>
      <w:r w:rsidR="00CD517D" w:rsidRPr="00CD517D">
        <w:rPr>
          <w:rFonts w:ascii="Arial" w:hAnsi="Arial" w:cs="Arial"/>
        </w:rPr>
        <w:t>: in</w:t>
      </w:r>
      <w:r>
        <w:rPr>
          <w:rFonts w:ascii="Arial" w:hAnsi="Arial" w:cs="Arial"/>
        </w:rPr>
        <w:t>patient/outpatient coinsurance; provider, emergency room and prescription drug co-payments; annual deductibles; out-of-pocket maximums</w:t>
      </w:r>
      <w:r w:rsidR="00CD517D" w:rsidRPr="00CD517D">
        <w:rPr>
          <w:rFonts w:ascii="Arial" w:hAnsi="Arial" w:cs="Arial"/>
        </w:rPr>
        <w:t xml:space="preserve"> </w:t>
      </w:r>
    </w:p>
    <w:p w:rsidR="00CD517D" w:rsidRPr="00CD517D" w:rsidRDefault="00CD517D" w:rsidP="00B71159">
      <w:pPr>
        <w:pStyle w:val="ListParagraph"/>
        <w:numPr>
          <w:ilvl w:val="0"/>
          <w:numId w:val="5"/>
        </w:numPr>
        <w:spacing w:line="240" w:lineRule="auto"/>
        <w:rPr>
          <w:rFonts w:ascii="Arial" w:hAnsi="Arial" w:cs="Arial"/>
        </w:rPr>
      </w:pPr>
      <w:r w:rsidRPr="00CD517D">
        <w:rPr>
          <w:rFonts w:ascii="Arial" w:hAnsi="Arial" w:cs="Arial"/>
        </w:rPr>
        <w:t>Employee/employer premiums</w:t>
      </w:r>
      <w:r w:rsidR="003440B3">
        <w:rPr>
          <w:rFonts w:ascii="Arial" w:hAnsi="Arial" w:cs="Arial"/>
        </w:rPr>
        <w:t xml:space="preserve"> (</w:t>
      </w:r>
      <w:r w:rsidRPr="00CD517D">
        <w:rPr>
          <w:rFonts w:ascii="Arial" w:hAnsi="Arial" w:cs="Arial"/>
        </w:rPr>
        <w:t>includes market data f</w:t>
      </w:r>
      <w:r w:rsidR="003440B3">
        <w:rPr>
          <w:rFonts w:ascii="Arial" w:hAnsi="Arial" w:cs="Arial"/>
        </w:rPr>
        <w:t>rom KSPH and our adopted market)</w:t>
      </w:r>
    </w:p>
    <w:p w:rsidR="00CD517D" w:rsidRPr="00CD517D" w:rsidRDefault="00CD517D" w:rsidP="00B71159">
      <w:pPr>
        <w:pStyle w:val="ListParagraph"/>
        <w:numPr>
          <w:ilvl w:val="0"/>
          <w:numId w:val="5"/>
        </w:numPr>
        <w:spacing w:line="240" w:lineRule="auto"/>
        <w:rPr>
          <w:rFonts w:ascii="Arial" w:hAnsi="Arial" w:cs="Arial"/>
        </w:rPr>
      </w:pPr>
      <w:r w:rsidRPr="00CD517D">
        <w:rPr>
          <w:rFonts w:ascii="Arial" w:hAnsi="Arial" w:cs="Arial"/>
        </w:rPr>
        <w:t xml:space="preserve">Employee </w:t>
      </w:r>
      <w:r w:rsidR="001A61DE">
        <w:rPr>
          <w:rFonts w:ascii="Arial" w:hAnsi="Arial" w:cs="Arial"/>
        </w:rPr>
        <w:t>f</w:t>
      </w:r>
      <w:r w:rsidR="001A61DE" w:rsidRPr="00CD517D">
        <w:rPr>
          <w:rFonts w:ascii="Arial" w:hAnsi="Arial" w:cs="Arial"/>
        </w:rPr>
        <w:t>eedback</w:t>
      </w:r>
      <w:r>
        <w:rPr>
          <w:rFonts w:ascii="Arial" w:hAnsi="Arial" w:cs="Arial"/>
        </w:rPr>
        <w:t>-</w:t>
      </w:r>
      <w:r w:rsidRPr="00CD517D">
        <w:rPr>
          <w:rFonts w:ascii="Arial" w:hAnsi="Arial" w:cs="Arial"/>
        </w:rPr>
        <w:t>-input from employees via focus groups and surveys</w:t>
      </w:r>
    </w:p>
    <w:p w:rsidR="00CD517D" w:rsidRDefault="00CD517D" w:rsidP="00B71159">
      <w:pPr>
        <w:pStyle w:val="ListParagraph"/>
        <w:numPr>
          <w:ilvl w:val="0"/>
          <w:numId w:val="5"/>
        </w:numPr>
        <w:spacing w:line="240" w:lineRule="auto"/>
        <w:rPr>
          <w:rFonts w:ascii="Arial" w:hAnsi="Arial" w:cs="Arial"/>
        </w:rPr>
      </w:pPr>
      <w:r w:rsidRPr="00CD517D">
        <w:rPr>
          <w:rFonts w:ascii="Arial" w:hAnsi="Arial" w:cs="Arial"/>
        </w:rPr>
        <w:t>Review and projections of reserve balance</w:t>
      </w:r>
    </w:p>
    <w:p w:rsidR="00CD517D" w:rsidRPr="00CD517D" w:rsidRDefault="00A81A53" w:rsidP="00B71159">
      <w:pPr>
        <w:spacing w:line="240" w:lineRule="auto"/>
        <w:rPr>
          <w:rFonts w:ascii="Arial" w:hAnsi="Arial" w:cs="Arial"/>
          <w:b/>
          <w:u w:val="single"/>
        </w:rPr>
      </w:pPr>
      <w:r>
        <w:rPr>
          <w:rFonts w:ascii="Arial" w:hAnsi="Arial" w:cs="Arial"/>
          <w:b/>
          <w:u w:val="single"/>
        </w:rPr>
        <w:t>FY14-15</w:t>
      </w:r>
      <w:r w:rsidR="00CD517D" w:rsidRPr="00CD517D">
        <w:rPr>
          <w:rFonts w:ascii="Arial" w:hAnsi="Arial" w:cs="Arial"/>
          <w:b/>
          <w:u w:val="single"/>
        </w:rPr>
        <w:t xml:space="preserve"> Medical Plan</w:t>
      </w:r>
    </w:p>
    <w:p w:rsidR="00A81A53" w:rsidRDefault="009A2DC5" w:rsidP="005862E5">
      <w:pPr>
        <w:spacing w:line="240" w:lineRule="auto"/>
        <w:jc w:val="both"/>
        <w:rPr>
          <w:rFonts w:ascii="Arial" w:hAnsi="Arial" w:cs="Arial"/>
        </w:rPr>
      </w:pPr>
      <w:r>
        <w:rPr>
          <w:rFonts w:ascii="Arial" w:hAnsi="Arial" w:cs="Arial"/>
        </w:rPr>
        <w:t>We currently offer t</w:t>
      </w:r>
      <w:r w:rsidR="00CD517D" w:rsidRPr="00CD517D">
        <w:rPr>
          <w:rFonts w:ascii="Arial" w:hAnsi="Arial" w:cs="Arial"/>
        </w:rPr>
        <w:t>wo plans (Ba</w:t>
      </w:r>
      <w:r>
        <w:rPr>
          <w:rFonts w:ascii="Arial" w:hAnsi="Arial" w:cs="Arial"/>
        </w:rPr>
        <w:t xml:space="preserve">sic and Plus) through Coventry, </w:t>
      </w:r>
      <w:r w:rsidR="00DA0605">
        <w:rPr>
          <w:rFonts w:ascii="Arial" w:hAnsi="Arial" w:cs="Arial"/>
        </w:rPr>
        <w:t xml:space="preserve">both </w:t>
      </w:r>
      <w:r>
        <w:rPr>
          <w:rFonts w:ascii="Arial" w:hAnsi="Arial" w:cs="Arial"/>
        </w:rPr>
        <w:t>offering the</w:t>
      </w:r>
      <w:r w:rsidR="00CD517D" w:rsidRPr="00CD517D">
        <w:rPr>
          <w:rFonts w:ascii="Arial" w:hAnsi="Arial" w:cs="Arial"/>
        </w:rPr>
        <w:t xml:space="preserve"> same benefit coverage, but differ</w:t>
      </w:r>
      <w:r w:rsidR="003440B3">
        <w:rPr>
          <w:rFonts w:ascii="Arial" w:hAnsi="Arial" w:cs="Arial"/>
        </w:rPr>
        <w:t>ing</w:t>
      </w:r>
      <w:r w:rsidR="00CD517D" w:rsidRPr="00CD517D">
        <w:rPr>
          <w:rFonts w:ascii="Arial" w:hAnsi="Arial" w:cs="Arial"/>
        </w:rPr>
        <w:t xml:space="preserve"> in cost sharing (co-pays, co-insurance, out-of-pocket maximums, deductibles) and employee premium requirements. </w:t>
      </w:r>
      <w:r w:rsidR="00721452">
        <w:rPr>
          <w:rFonts w:ascii="Arial" w:hAnsi="Arial" w:cs="Arial"/>
        </w:rPr>
        <w:t>Effective January 1, 2015, we will be implementing a $250 deductible</w:t>
      </w:r>
      <w:r w:rsidR="00A81A53">
        <w:rPr>
          <w:rFonts w:ascii="Arial" w:hAnsi="Arial" w:cs="Arial"/>
        </w:rPr>
        <w:t xml:space="preserve">. </w:t>
      </w:r>
      <w:r w:rsidR="00CD517D" w:rsidRPr="00CD517D">
        <w:rPr>
          <w:rFonts w:ascii="Arial" w:hAnsi="Arial" w:cs="Arial"/>
        </w:rPr>
        <w:t>Both the employee and Board c</w:t>
      </w:r>
      <w:r w:rsidR="00A81A53">
        <w:rPr>
          <w:rFonts w:ascii="Arial" w:hAnsi="Arial" w:cs="Arial"/>
        </w:rPr>
        <w:t>ontributions were increased by 8</w:t>
      </w:r>
      <w:r w:rsidR="00CD517D" w:rsidRPr="00CD517D">
        <w:rPr>
          <w:rFonts w:ascii="Arial" w:hAnsi="Arial" w:cs="Arial"/>
        </w:rPr>
        <w:t>% for this plan-year</w:t>
      </w:r>
      <w:r w:rsidR="00CD517D">
        <w:rPr>
          <w:rFonts w:ascii="Arial" w:hAnsi="Arial" w:cs="Arial"/>
        </w:rPr>
        <w:t>,</w:t>
      </w:r>
      <w:r w:rsidR="00CD517D" w:rsidRPr="00CD517D">
        <w:rPr>
          <w:rFonts w:ascii="Arial" w:hAnsi="Arial" w:cs="Arial"/>
        </w:rPr>
        <w:t xml:space="preserve"> </w:t>
      </w:r>
      <w:r w:rsidR="003440B3">
        <w:rPr>
          <w:rFonts w:ascii="Arial" w:hAnsi="Arial" w:cs="Arial"/>
        </w:rPr>
        <w:t>effective</w:t>
      </w:r>
      <w:r w:rsidR="00CD517D" w:rsidRPr="00CD517D">
        <w:rPr>
          <w:rFonts w:ascii="Arial" w:hAnsi="Arial" w:cs="Arial"/>
        </w:rPr>
        <w:t xml:space="preserve"> October 1</w:t>
      </w:r>
      <w:r w:rsidR="00CD517D">
        <w:rPr>
          <w:rFonts w:ascii="Arial" w:hAnsi="Arial" w:cs="Arial"/>
        </w:rPr>
        <w:t>st</w:t>
      </w:r>
      <w:r w:rsidR="00CD517D" w:rsidRPr="00CD517D">
        <w:rPr>
          <w:rFonts w:ascii="Arial" w:hAnsi="Arial" w:cs="Arial"/>
        </w:rPr>
        <w:t xml:space="preserve">. </w:t>
      </w:r>
    </w:p>
    <w:p w:rsidR="00CD517D" w:rsidRPr="00031ADC" w:rsidRDefault="00A81A53" w:rsidP="00AD330F">
      <w:pPr>
        <w:spacing w:line="240" w:lineRule="auto"/>
        <w:rPr>
          <w:rFonts w:ascii="Arial" w:hAnsi="Arial" w:cs="Arial"/>
          <w:b/>
          <w:u w:val="single"/>
        </w:rPr>
      </w:pPr>
      <w:r>
        <w:rPr>
          <w:rFonts w:ascii="Arial" w:hAnsi="Arial" w:cs="Arial"/>
          <w:b/>
          <w:u w:val="single"/>
        </w:rPr>
        <w:t>FY15-16</w:t>
      </w:r>
      <w:r w:rsidR="00CD517D" w:rsidRPr="00031ADC">
        <w:rPr>
          <w:rFonts w:ascii="Arial" w:hAnsi="Arial" w:cs="Arial"/>
          <w:b/>
          <w:u w:val="single"/>
        </w:rPr>
        <w:t xml:space="preserve"> Medical </w:t>
      </w:r>
      <w:r w:rsidR="00242AC6">
        <w:rPr>
          <w:rFonts w:ascii="Arial" w:hAnsi="Arial" w:cs="Arial"/>
          <w:b/>
          <w:u w:val="single"/>
        </w:rPr>
        <w:t>Plan</w:t>
      </w:r>
    </w:p>
    <w:p w:rsidR="00617420" w:rsidRPr="00AD330F" w:rsidRDefault="001120B0" w:rsidP="005862E5">
      <w:pPr>
        <w:pStyle w:val="Body"/>
        <w:spacing w:line="240" w:lineRule="auto"/>
        <w:jc w:val="both"/>
        <w:rPr>
          <w:rFonts w:ascii="Arial" w:hAnsi="Arial" w:cs="Arial"/>
          <w:color w:val="auto"/>
          <w:bdr w:val="none" w:sz="0" w:space="0" w:color="auto"/>
        </w:rPr>
      </w:pPr>
      <w:r w:rsidRPr="00AD330F">
        <w:rPr>
          <w:rFonts w:ascii="Arial" w:hAnsi="Arial" w:cs="Arial"/>
          <w:color w:val="auto"/>
          <w:bdr w:val="none" w:sz="0" w:space="0" w:color="auto"/>
        </w:rPr>
        <w:t>Information regarding the medical insurance was presented to the BOS and School Board on May 14, 2014.  The Boards directed staff to evaluate additional policy modifications as may be necessary or advisable to maintain a competitive and sustainable health insurance program</w:t>
      </w:r>
      <w:r w:rsidR="005706A7" w:rsidRPr="00AD330F">
        <w:rPr>
          <w:rFonts w:ascii="Arial" w:hAnsi="Arial" w:cs="Arial"/>
          <w:color w:val="auto"/>
          <w:bdr w:val="none" w:sz="0" w:space="0" w:color="auto"/>
        </w:rPr>
        <w:t>.</w:t>
      </w:r>
      <w:r w:rsidRPr="00AD330F">
        <w:rPr>
          <w:rFonts w:ascii="Arial" w:hAnsi="Arial" w:cs="Arial"/>
          <w:color w:val="auto"/>
          <w:bdr w:val="none" w:sz="0" w:space="0" w:color="auto"/>
        </w:rPr>
        <w:t xml:space="preserve"> </w:t>
      </w:r>
      <w:r w:rsidR="005706A7" w:rsidRPr="00AD330F">
        <w:rPr>
          <w:rFonts w:ascii="Arial" w:hAnsi="Arial" w:cs="Arial"/>
          <w:color w:val="auto"/>
          <w:bdr w:val="none" w:sz="0" w:space="0" w:color="auto"/>
        </w:rPr>
        <w:t xml:space="preserve">The </w:t>
      </w:r>
      <w:r w:rsidRPr="00AD330F">
        <w:rPr>
          <w:rFonts w:ascii="Arial" w:hAnsi="Arial" w:cs="Arial"/>
          <w:color w:val="auto"/>
          <w:bdr w:val="none" w:sz="0" w:space="0" w:color="auto"/>
        </w:rPr>
        <w:t>HCEC evaluated a number of strategies as follows:</w:t>
      </w:r>
    </w:p>
    <w:p w:rsidR="00617420" w:rsidRPr="00242AC6" w:rsidRDefault="00617420" w:rsidP="005862E5">
      <w:pPr>
        <w:pStyle w:val="Body"/>
        <w:spacing w:line="240" w:lineRule="auto"/>
        <w:jc w:val="both"/>
        <w:rPr>
          <w:rFonts w:ascii="Arial" w:hAnsi="Arial" w:cs="Arial"/>
        </w:rPr>
      </w:pPr>
      <w:r w:rsidRPr="00242AC6">
        <w:rPr>
          <w:rFonts w:ascii="Arial" w:hAnsi="Arial" w:cs="Arial"/>
          <w:b/>
        </w:rPr>
        <w:t>Reallocating rates</w:t>
      </w:r>
      <w:r w:rsidRPr="00242AC6">
        <w:rPr>
          <w:rFonts w:ascii="Arial" w:hAnsi="Arial" w:cs="Arial"/>
        </w:rPr>
        <w:t>. Currently, the board medical contribution for full time employees is a flat amount ($7,794), regardless of type or tier of coverage that an employee elects. In order to get our rates closer to a</w:t>
      </w:r>
      <w:r w:rsidR="00AD330F">
        <w:rPr>
          <w:rFonts w:ascii="Arial" w:hAnsi="Arial" w:cs="Arial"/>
        </w:rPr>
        <w:t>ctuarial costs among tiers and to a</w:t>
      </w:r>
      <w:r w:rsidRPr="00242AC6">
        <w:rPr>
          <w:rFonts w:ascii="Arial" w:hAnsi="Arial" w:cs="Arial"/>
        </w:rPr>
        <w:t>void the Cadillac tax, the HCEC reviewed a reallocated structure which would distribute the Board contribution differently among the tiers, rather than a flat contribution across the board.</w:t>
      </w:r>
      <w:r w:rsidR="005706A7">
        <w:rPr>
          <w:rFonts w:ascii="Arial" w:hAnsi="Arial" w:cs="Arial"/>
        </w:rPr>
        <w:t xml:space="preserve"> </w:t>
      </w:r>
      <w:r w:rsidRPr="00242AC6">
        <w:rPr>
          <w:rFonts w:ascii="Arial" w:hAnsi="Arial" w:cs="Arial"/>
        </w:rPr>
        <w:t xml:space="preserve">In order to reallocate our rates to more accurately reflect usage, the Board contribution amount will decrease for employee only and employee plus child coverage and increase for employee plus spouse and family coverage.  Our market data supports this differentiated employer contribution strategy, as nearly 70% of </w:t>
      </w:r>
      <w:r w:rsidRPr="00242AC6">
        <w:rPr>
          <w:rFonts w:ascii="Arial" w:hAnsi="Arial" w:cs="Arial"/>
        </w:rPr>
        <w:lastRenderedPageBreak/>
        <w:t>our adopted market contributes a higher amount for dependent coverage.  The impact to full-time employees is minimal with this rate allocation</w:t>
      </w:r>
      <w:r w:rsidR="00CE50B6" w:rsidRPr="00242AC6">
        <w:rPr>
          <w:rFonts w:ascii="Arial" w:hAnsi="Arial" w:cs="Arial"/>
        </w:rPr>
        <w:t xml:space="preserve"> (see below)</w:t>
      </w:r>
      <w:r w:rsidRPr="00242AC6">
        <w:rPr>
          <w:rFonts w:ascii="Arial" w:hAnsi="Arial" w:cs="Arial"/>
        </w:rPr>
        <w:t xml:space="preserve">; however, the impact to part-time employees </w:t>
      </w:r>
      <w:r w:rsidR="005706A7">
        <w:rPr>
          <w:rFonts w:ascii="Arial" w:hAnsi="Arial" w:cs="Arial"/>
        </w:rPr>
        <w:t>based on the current practice i</w:t>
      </w:r>
      <w:r w:rsidRPr="00242AC6">
        <w:rPr>
          <w:rFonts w:ascii="Arial" w:hAnsi="Arial" w:cs="Arial"/>
        </w:rPr>
        <w:t xml:space="preserve">s a concern. </w:t>
      </w:r>
    </w:p>
    <w:p w:rsidR="000B57F6" w:rsidRDefault="00CE50B6" w:rsidP="005862E5">
      <w:pPr>
        <w:pStyle w:val="Body"/>
        <w:spacing w:line="240" w:lineRule="auto"/>
        <w:jc w:val="both"/>
        <w:rPr>
          <w:rFonts w:ascii="Arial" w:hAnsi="Arial" w:cs="Arial"/>
        </w:rPr>
      </w:pPr>
      <w:r w:rsidRPr="00242AC6">
        <w:rPr>
          <w:rFonts w:ascii="Arial" w:hAnsi="Arial" w:cs="Arial"/>
        </w:rPr>
        <w:t xml:space="preserve">Based on current (FY14/15) Rates, the allocation </w:t>
      </w:r>
      <w:r w:rsidR="00AD330F">
        <w:rPr>
          <w:rFonts w:ascii="Arial" w:hAnsi="Arial" w:cs="Arial"/>
        </w:rPr>
        <w:t>would appear a</w:t>
      </w:r>
      <w:r w:rsidRPr="00242AC6">
        <w:rPr>
          <w:rFonts w:ascii="Arial" w:hAnsi="Arial" w:cs="Arial"/>
        </w:rPr>
        <w:t xml:space="preserve">s </w:t>
      </w:r>
      <w:r w:rsidR="000B57F6">
        <w:rPr>
          <w:rFonts w:ascii="Arial" w:hAnsi="Arial" w:cs="Arial"/>
        </w:rPr>
        <w:t>indicated below:</w:t>
      </w:r>
    </w:p>
    <w:tbl>
      <w:tblPr>
        <w:tblW w:w="8597" w:type="dxa"/>
        <w:tblInd w:w="93" w:type="dxa"/>
        <w:tblLook w:val="04A0"/>
      </w:tblPr>
      <w:tblGrid>
        <w:gridCol w:w="2120"/>
        <w:gridCol w:w="895"/>
        <w:gridCol w:w="770"/>
        <w:gridCol w:w="956"/>
        <w:gridCol w:w="834"/>
        <w:gridCol w:w="997"/>
        <w:gridCol w:w="834"/>
        <w:gridCol w:w="1180"/>
        <w:gridCol w:w="222"/>
      </w:tblGrid>
      <w:tr w:rsidR="000B57F6" w:rsidRPr="000B57F6" w:rsidTr="000B57F6">
        <w:trPr>
          <w:gridAfter w:val="1"/>
          <w:wAfter w:w="11" w:type="dxa"/>
          <w:trHeight w:val="300"/>
        </w:trPr>
        <w:tc>
          <w:tcPr>
            <w:tcW w:w="3785" w:type="dxa"/>
            <w:gridSpan w:val="3"/>
            <w:tcBorders>
              <w:top w:val="nil"/>
              <w:left w:val="nil"/>
              <w:bottom w:val="nil"/>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b/>
                <w:bCs/>
                <w:color w:val="C0504D"/>
                <w:sz w:val="16"/>
                <w:szCs w:val="16"/>
              </w:rPr>
            </w:pPr>
            <w:r w:rsidRPr="000B57F6">
              <w:rPr>
                <w:rFonts w:ascii="Times New Roman" w:eastAsia="Times New Roman" w:hAnsi="Times New Roman"/>
                <w:b/>
                <w:bCs/>
                <w:color w:val="C0504D"/>
                <w:sz w:val="16"/>
                <w:szCs w:val="16"/>
              </w:rPr>
              <w:t>Albemarle County &amp; Schools</w:t>
            </w:r>
          </w:p>
        </w:tc>
        <w:tc>
          <w:tcPr>
            <w:tcW w:w="956"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834"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97"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834"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118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r>
      <w:tr w:rsidR="000B57F6" w:rsidRPr="000B57F6" w:rsidTr="000B57F6">
        <w:trPr>
          <w:gridAfter w:val="1"/>
          <w:wAfter w:w="11" w:type="dxa"/>
          <w:trHeight w:val="315"/>
        </w:trPr>
        <w:tc>
          <w:tcPr>
            <w:tcW w:w="3015" w:type="dxa"/>
            <w:gridSpan w:val="2"/>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Note: Rates Rounded to Whole Dollars</w:t>
            </w: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56"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834"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97"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834"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118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r>
      <w:tr w:rsidR="000B57F6" w:rsidRPr="000B57F6" w:rsidTr="000B57F6">
        <w:trPr>
          <w:gridAfter w:val="1"/>
          <w:wAfter w:w="11" w:type="dxa"/>
          <w:trHeight w:val="330"/>
        </w:trPr>
        <w:tc>
          <w:tcPr>
            <w:tcW w:w="3785" w:type="dxa"/>
            <w:gridSpan w:val="3"/>
            <w:tcBorders>
              <w:top w:val="single" w:sz="8" w:space="0" w:color="auto"/>
              <w:left w:val="single" w:sz="8" w:space="0" w:color="auto"/>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Current Structure - 10/14 PLAN YEAR</w:t>
            </w:r>
          </w:p>
        </w:tc>
        <w:tc>
          <w:tcPr>
            <w:tcW w:w="956"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834"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997"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834"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1180"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r>
      <w:tr w:rsidR="000B57F6" w:rsidRPr="000B57F6" w:rsidTr="000B57F6">
        <w:trPr>
          <w:gridAfter w:val="1"/>
          <w:wAfter w:w="11" w:type="dxa"/>
          <w:trHeight w:val="330"/>
        </w:trPr>
        <w:tc>
          <w:tcPr>
            <w:tcW w:w="2120" w:type="dxa"/>
            <w:tcBorders>
              <w:top w:val="nil"/>
              <w:left w:val="single" w:sz="8" w:space="0" w:color="auto"/>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 </w:t>
            </w:r>
          </w:p>
        </w:tc>
        <w:tc>
          <w:tcPr>
            <w:tcW w:w="1665" w:type="dxa"/>
            <w:gridSpan w:val="2"/>
            <w:tcBorders>
              <w:top w:val="nil"/>
              <w:left w:val="single" w:sz="8" w:space="0" w:color="auto"/>
              <w:bottom w:val="single" w:sz="8"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Enrollment, 1/14</w:t>
            </w:r>
          </w:p>
        </w:tc>
        <w:tc>
          <w:tcPr>
            <w:tcW w:w="1790" w:type="dxa"/>
            <w:gridSpan w:val="2"/>
            <w:tcBorders>
              <w:top w:val="nil"/>
              <w:left w:val="nil"/>
              <w:bottom w:val="single" w:sz="4"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10/14 Funding Rates *</w:t>
            </w:r>
          </w:p>
        </w:tc>
        <w:tc>
          <w:tcPr>
            <w:tcW w:w="1831" w:type="dxa"/>
            <w:gridSpan w:val="2"/>
            <w:tcBorders>
              <w:top w:val="nil"/>
              <w:left w:val="nil"/>
              <w:bottom w:val="single" w:sz="8"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Actives/Retirees Pay</w:t>
            </w:r>
          </w:p>
        </w:tc>
        <w:tc>
          <w:tcPr>
            <w:tcW w:w="1180" w:type="dxa"/>
            <w:tcBorders>
              <w:top w:val="nil"/>
              <w:left w:val="single" w:sz="8" w:space="0" w:color="auto"/>
              <w:bottom w:val="single" w:sz="8"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Employer Pays</w:t>
            </w:r>
          </w:p>
        </w:tc>
      </w:tr>
      <w:tr w:rsidR="000B57F6" w:rsidRPr="000B57F6" w:rsidTr="000B57F6">
        <w:trPr>
          <w:gridAfter w:val="1"/>
          <w:wAfter w:w="11" w:type="dxa"/>
          <w:trHeight w:val="330"/>
        </w:trPr>
        <w:tc>
          <w:tcPr>
            <w:tcW w:w="2120" w:type="dxa"/>
            <w:tcBorders>
              <w:top w:val="single" w:sz="4" w:space="0" w:color="auto"/>
              <w:left w:val="single" w:sz="8" w:space="0" w:color="auto"/>
              <w:bottom w:val="nil"/>
              <w:right w:val="nil"/>
            </w:tcBorders>
            <w:shd w:val="clear" w:color="000000" w:fill="0070C0"/>
            <w:noWrap/>
            <w:vAlign w:val="bottom"/>
            <w:hideMark/>
          </w:tcPr>
          <w:p w:rsidR="000B57F6" w:rsidRPr="000B57F6" w:rsidRDefault="000B57F6" w:rsidP="000B57F6">
            <w:pPr>
              <w:spacing w:after="0" w:line="240" w:lineRule="auto"/>
              <w:rPr>
                <w:rFonts w:ascii="Times New Roman" w:eastAsia="Times New Roman" w:hAnsi="Times New Roman"/>
                <w:color w:val="FFFFFF"/>
                <w:sz w:val="16"/>
                <w:szCs w:val="16"/>
              </w:rPr>
            </w:pPr>
            <w:r w:rsidRPr="000B57F6">
              <w:rPr>
                <w:rFonts w:ascii="Times New Roman" w:eastAsia="Times New Roman" w:hAnsi="Times New Roman"/>
                <w:color w:val="FFFFFF"/>
                <w:sz w:val="16"/>
                <w:szCs w:val="16"/>
              </w:rPr>
              <w:t> </w:t>
            </w:r>
          </w:p>
        </w:tc>
        <w:tc>
          <w:tcPr>
            <w:tcW w:w="895" w:type="dxa"/>
            <w:tcBorders>
              <w:top w:val="nil"/>
              <w:left w:val="single" w:sz="8" w:space="0" w:color="auto"/>
              <w:bottom w:val="nil"/>
              <w:right w:val="single" w:sz="4"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Plus</w:t>
            </w:r>
          </w:p>
        </w:tc>
        <w:tc>
          <w:tcPr>
            <w:tcW w:w="770" w:type="dxa"/>
            <w:tcBorders>
              <w:top w:val="nil"/>
              <w:left w:val="nil"/>
              <w:bottom w:val="nil"/>
              <w:right w:val="single" w:sz="8"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Basic</w:t>
            </w:r>
          </w:p>
        </w:tc>
        <w:tc>
          <w:tcPr>
            <w:tcW w:w="956" w:type="dxa"/>
            <w:tcBorders>
              <w:top w:val="nil"/>
              <w:left w:val="nil"/>
              <w:bottom w:val="nil"/>
              <w:right w:val="single" w:sz="4"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Plus</w:t>
            </w:r>
          </w:p>
        </w:tc>
        <w:tc>
          <w:tcPr>
            <w:tcW w:w="834" w:type="dxa"/>
            <w:tcBorders>
              <w:top w:val="nil"/>
              <w:left w:val="nil"/>
              <w:bottom w:val="nil"/>
              <w:right w:val="single" w:sz="8"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Basic</w:t>
            </w:r>
          </w:p>
        </w:tc>
        <w:tc>
          <w:tcPr>
            <w:tcW w:w="997" w:type="dxa"/>
            <w:tcBorders>
              <w:top w:val="nil"/>
              <w:left w:val="nil"/>
              <w:bottom w:val="nil"/>
              <w:right w:val="single" w:sz="4"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Plus</w:t>
            </w:r>
          </w:p>
        </w:tc>
        <w:tc>
          <w:tcPr>
            <w:tcW w:w="834" w:type="dxa"/>
            <w:tcBorders>
              <w:top w:val="nil"/>
              <w:left w:val="nil"/>
              <w:bottom w:val="nil"/>
              <w:right w:val="nil"/>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Basic</w:t>
            </w:r>
          </w:p>
        </w:tc>
        <w:tc>
          <w:tcPr>
            <w:tcW w:w="1180" w:type="dxa"/>
            <w:tcBorders>
              <w:top w:val="nil"/>
              <w:left w:val="single" w:sz="8" w:space="0" w:color="auto"/>
              <w:bottom w:val="nil"/>
              <w:right w:val="single" w:sz="4"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Plus</w:t>
            </w:r>
          </w:p>
        </w:tc>
      </w:tr>
      <w:tr w:rsidR="000B57F6" w:rsidRPr="000B57F6" w:rsidTr="000B57F6">
        <w:trPr>
          <w:gridAfter w:val="1"/>
          <w:wAfter w:w="11" w:type="dxa"/>
          <w:trHeight w:val="315"/>
        </w:trPr>
        <w:tc>
          <w:tcPr>
            <w:tcW w:w="2120" w:type="dxa"/>
            <w:tcBorders>
              <w:top w:val="single" w:sz="8" w:space="0" w:color="auto"/>
              <w:left w:val="single" w:sz="8" w:space="0" w:color="auto"/>
              <w:bottom w:val="single" w:sz="4" w:space="0" w:color="auto"/>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Employee</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1026</w:t>
            </w:r>
          </w:p>
        </w:tc>
        <w:tc>
          <w:tcPr>
            <w:tcW w:w="770" w:type="dxa"/>
            <w:tcBorders>
              <w:top w:val="single" w:sz="4" w:space="0" w:color="auto"/>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258</w:t>
            </w:r>
          </w:p>
        </w:tc>
        <w:tc>
          <w:tcPr>
            <w:tcW w:w="95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$696</w:t>
            </w:r>
          </w:p>
        </w:tc>
        <w:tc>
          <w:tcPr>
            <w:tcW w:w="834" w:type="dxa"/>
            <w:tcBorders>
              <w:top w:val="single" w:sz="8" w:space="0" w:color="auto"/>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$661</w:t>
            </w:r>
          </w:p>
        </w:tc>
        <w:tc>
          <w:tcPr>
            <w:tcW w:w="997"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$46</w:t>
            </w:r>
          </w:p>
        </w:tc>
        <w:tc>
          <w:tcPr>
            <w:tcW w:w="834" w:type="dxa"/>
            <w:tcBorders>
              <w:top w:val="single" w:sz="8" w:space="0" w:color="auto"/>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$12</w:t>
            </w:r>
          </w:p>
        </w:tc>
        <w:tc>
          <w:tcPr>
            <w:tcW w:w="118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$650</w:t>
            </w:r>
          </w:p>
        </w:tc>
      </w:tr>
      <w:tr w:rsidR="000B57F6" w:rsidRPr="000B57F6" w:rsidTr="000B57F6">
        <w:trPr>
          <w:gridAfter w:val="1"/>
          <w:wAfter w:w="11" w:type="dxa"/>
          <w:trHeight w:val="315"/>
        </w:trPr>
        <w:tc>
          <w:tcPr>
            <w:tcW w:w="2120" w:type="dxa"/>
            <w:tcBorders>
              <w:top w:val="nil"/>
              <w:left w:val="single" w:sz="8" w:space="0" w:color="auto"/>
              <w:bottom w:val="single" w:sz="4" w:space="0" w:color="auto"/>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Employee + Child</w:t>
            </w:r>
          </w:p>
        </w:tc>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283</w:t>
            </w:r>
          </w:p>
        </w:tc>
        <w:tc>
          <w:tcPr>
            <w:tcW w:w="77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50</w:t>
            </w:r>
          </w:p>
        </w:tc>
        <w:tc>
          <w:tcPr>
            <w:tcW w:w="956"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$748</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$696</w:t>
            </w:r>
          </w:p>
        </w:tc>
        <w:tc>
          <w:tcPr>
            <w:tcW w:w="997" w:type="dxa"/>
            <w:tcBorders>
              <w:top w:val="nil"/>
              <w:left w:val="single" w:sz="4"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$98</w:t>
            </w:r>
          </w:p>
        </w:tc>
        <w:tc>
          <w:tcPr>
            <w:tcW w:w="834" w:type="dxa"/>
            <w:tcBorders>
              <w:top w:val="nil"/>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$46</w:t>
            </w:r>
          </w:p>
        </w:tc>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$650</w:t>
            </w:r>
          </w:p>
        </w:tc>
      </w:tr>
      <w:tr w:rsidR="000B57F6" w:rsidRPr="000B57F6" w:rsidTr="000B57F6">
        <w:trPr>
          <w:gridAfter w:val="1"/>
          <w:wAfter w:w="11" w:type="dxa"/>
          <w:trHeight w:val="315"/>
        </w:trPr>
        <w:tc>
          <w:tcPr>
            <w:tcW w:w="2120" w:type="dxa"/>
            <w:tcBorders>
              <w:top w:val="nil"/>
              <w:left w:val="single" w:sz="8" w:space="0" w:color="auto"/>
              <w:bottom w:val="single" w:sz="4" w:space="0" w:color="auto"/>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Employee + Children or Spouse</w:t>
            </w:r>
          </w:p>
        </w:tc>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452</w:t>
            </w:r>
          </w:p>
        </w:tc>
        <w:tc>
          <w:tcPr>
            <w:tcW w:w="77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93</w:t>
            </w:r>
          </w:p>
        </w:tc>
        <w:tc>
          <w:tcPr>
            <w:tcW w:w="956"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$883</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$796</w:t>
            </w:r>
          </w:p>
        </w:tc>
        <w:tc>
          <w:tcPr>
            <w:tcW w:w="997" w:type="dxa"/>
            <w:tcBorders>
              <w:top w:val="nil"/>
              <w:left w:val="single" w:sz="4"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$233</w:t>
            </w:r>
          </w:p>
        </w:tc>
        <w:tc>
          <w:tcPr>
            <w:tcW w:w="834" w:type="dxa"/>
            <w:tcBorders>
              <w:top w:val="nil"/>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$147</w:t>
            </w:r>
          </w:p>
        </w:tc>
        <w:tc>
          <w:tcPr>
            <w:tcW w:w="1180"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$650</w:t>
            </w:r>
          </w:p>
        </w:tc>
      </w:tr>
      <w:tr w:rsidR="000B57F6" w:rsidRPr="000B57F6" w:rsidTr="000B57F6">
        <w:trPr>
          <w:gridAfter w:val="1"/>
          <w:wAfter w:w="11" w:type="dxa"/>
          <w:trHeight w:val="330"/>
        </w:trPr>
        <w:tc>
          <w:tcPr>
            <w:tcW w:w="2120" w:type="dxa"/>
            <w:tcBorders>
              <w:top w:val="nil"/>
              <w:left w:val="single" w:sz="8" w:space="0" w:color="auto"/>
              <w:bottom w:val="single" w:sz="4" w:space="0" w:color="auto"/>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Family</w:t>
            </w:r>
          </w:p>
        </w:tc>
        <w:tc>
          <w:tcPr>
            <w:tcW w:w="895" w:type="dxa"/>
            <w:tcBorders>
              <w:top w:val="nil"/>
              <w:left w:val="single" w:sz="4"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651</w:t>
            </w:r>
          </w:p>
        </w:tc>
        <w:tc>
          <w:tcPr>
            <w:tcW w:w="77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178</w:t>
            </w:r>
          </w:p>
        </w:tc>
        <w:tc>
          <w:tcPr>
            <w:tcW w:w="956"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$960</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$851</w:t>
            </w:r>
          </w:p>
        </w:tc>
        <w:tc>
          <w:tcPr>
            <w:tcW w:w="997" w:type="dxa"/>
            <w:tcBorders>
              <w:top w:val="nil"/>
              <w:left w:val="single" w:sz="4"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$311</w:t>
            </w:r>
          </w:p>
        </w:tc>
        <w:tc>
          <w:tcPr>
            <w:tcW w:w="834" w:type="dxa"/>
            <w:tcBorders>
              <w:top w:val="nil"/>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$201</w:t>
            </w:r>
          </w:p>
        </w:tc>
        <w:tc>
          <w:tcPr>
            <w:tcW w:w="1180" w:type="dxa"/>
            <w:tcBorders>
              <w:top w:val="nil"/>
              <w:left w:val="single" w:sz="8" w:space="0" w:color="auto"/>
              <w:bottom w:val="single" w:sz="8"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$650</w:t>
            </w:r>
          </w:p>
        </w:tc>
      </w:tr>
      <w:tr w:rsidR="000B57F6" w:rsidRPr="000B57F6" w:rsidTr="000B57F6">
        <w:trPr>
          <w:gridAfter w:val="1"/>
          <w:wAfter w:w="11" w:type="dxa"/>
          <w:trHeight w:val="315"/>
        </w:trPr>
        <w:tc>
          <w:tcPr>
            <w:tcW w:w="2120" w:type="dxa"/>
            <w:tcBorders>
              <w:top w:val="nil"/>
              <w:left w:val="single" w:sz="8" w:space="0" w:color="auto"/>
              <w:bottom w:val="single" w:sz="4" w:space="0" w:color="auto"/>
              <w:right w:val="nil"/>
            </w:tcBorders>
            <w:shd w:val="clear" w:color="000000" w:fill="8DB4E3"/>
            <w:noWrap/>
            <w:vAlign w:val="bottom"/>
            <w:hideMark/>
          </w:tcPr>
          <w:p w:rsidR="000B57F6" w:rsidRPr="000B57F6" w:rsidRDefault="000B57F6" w:rsidP="000B57F6">
            <w:pPr>
              <w:spacing w:after="0" w:line="240" w:lineRule="auto"/>
              <w:rPr>
                <w:rFonts w:ascii="Times New Roman" w:eastAsia="Times New Roman" w:hAnsi="Times New Roman"/>
                <w:b/>
                <w:bCs/>
                <w:sz w:val="16"/>
                <w:szCs w:val="16"/>
              </w:rPr>
            </w:pPr>
            <w:r w:rsidRPr="000B57F6">
              <w:rPr>
                <w:rFonts w:ascii="Times New Roman" w:eastAsia="Times New Roman" w:hAnsi="Times New Roman"/>
                <w:b/>
                <w:bCs/>
                <w:sz w:val="16"/>
                <w:szCs w:val="16"/>
              </w:rPr>
              <w:t>Monthly Total</w:t>
            </w:r>
          </w:p>
        </w:tc>
        <w:tc>
          <w:tcPr>
            <w:tcW w:w="895"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2412</w:t>
            </w:r>
          </w:p>
        </w:tc>
        <w:tc>
          <w:tcPr>
            <w:tcW w:w="770"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579</w:t>
            </w:r>
          </w:p>
        </w:tc>
        <w:tc>
          <w:tcPr>
            <w:tcW w:w="956"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$1,949,792</w:t>
            </w:r>
          </w:p>
        </w:tc>
        <w:tc>
          <w:tcPr>
            <w:tcW w:w="834"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$430,816</w:t>
            </w:r>
          </w:p>
        </w:tc>
        <w:tc>
          <w:tcPr>
            <w:tcW w:w="997"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$382,707</w:t>
            </w:r>
          </w:p>
        </w:tc>
        <w:tc>
          <w:tcPr>
            <w:tcW w:w="834"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$54,845</w:t>
            </w:r>
          </w:p>
        </w:tc>
        <w:tc>
          <w:tcPr>
            <w:tcW w:w="1180"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$1,566,690</w:t>
            </w:r>
          </w:p>
        </w:tc>
      </w:tr>
      <w:tr w:rsidR="000B57F6" w:rsidRPr="000B57F6" w:rsidTr="000B57F6">
        <w:trPr>
          <w:gridAfter w:val="1"/>
          <w:wAfter w:w="11" w:type="dxa"/>
          <w:trHeight w:val="330"/>
        </w:trPr>
        <w:tc>
          <w:tcPr>
            <w:tcW w:w="2120" w:type="dxa"/>
            <w:tcBorders>
              <w:top w:val="nil"/>
              <w:left w:val="single" w:sz="8" w:space="0" w:color="auto"/>
              <w:bottom w:val="single" w:sz="8" w:space="0" w:color="auto"/>
              <w:right w:val="nil"/>
            </w:tcBorders>
            <w:shd w:val="clear" w:color="000000" w:fill="8DB4E3"/>
            <w:noWrap/>
            <w:vAlign w:val="bottom"/>
            <w:hideMark/>
          </w:tcPr>
          <w:p w:rsidR="000B57F6" w:rsidRPr="000B57F6" w:rsidRDefault="000B57F6" w:rsidP="000B57F6">
            <w:pPr>
              <w:spacing w:after="0" w:line="240" w:lineRule="auto"/>
              <w:rPr>
                <w:rFonts w:ascii="Times New Roman" w:eastAsia="Times New Roman" w:hAnsi="Times New Roman"/>
                <w:b/>
                <w:bCs/>
                <w:sz w:val="16"/>
                <w:szCs w:val="16"/>
              </w:rPr>
            </w:pPr>
            <w:r w:rsidRPr="000B57F6">
              <w:rPr>
                <w:rFonts w:ascii="Times New Roman" w:eastAsia="Times New Roman" w:hAnsi="Times New Roman"/>
                <w:b/>
                <w:bCs/>
                <w:sz w:val="16"/>
                <w:szCs w:val="16"/>
              </w:rPr>
              <w:t>Annual Total</w:t>
            </w:r>
          </w:p>
        </w:tc>
        <w:tc>
          <w:tcPr>
            <w:tcW w:w="1665" w:type="dxa"/>
            <w:gridSpan w:val="2"/>
            <w:tcBorders>
              <w:top w:val="single" w:sz="4" w:space="0" w:color="auto"/>
              <w:left w:val="single" w:sz="8" w:space="0" w:color="auto"/>
              <w:bottom w:val="single" w:sz="8" w:space="0" w:color="auto"/>
              <w:right w:val="single" w:sz="8" w:space="0" w:color="000000"/>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2991</w:t>
            </w:r>
          </w:p>
        </w:tc>
        <w:tc>
          <w:tcPr>
            <w:tcW w:w="1790" w:type="dxa"/>
            <w:gridSpan w:val="2"/>
            <w:tcBorders>
              <w:top w:val="single" w:sz="4" w:space="0" w:color="auto"/>
              <w:left w:val="nil"/>
              <w:bottom w:val="single" w:sz="8" w:space="0" w:color="auto"/>
              <w:right w:val="single" w:sz="8" w:space="0" w:color="000000"/>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$28,567,000</w:t>
            </w:r>
          </w:p>
        </w:tc>
        <w:tc>
          <w:tcPr>
            <w:tcW w:w="1831" w:type="dxa"/>
            <w:gridSpan w:val="2"/>
            <w:tcBorders>
              <w:top w:val="single" w:sz="4" w:space="0" w:color="auto"/>
              <w:left w:val="nil"/>
              <w:bottom w:val="single" w:sz="8" w:space="0" w:color="auto"/>
              <w:right w:val="single" w:sz="8" w:space="0" w:color="000000"/>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$5,251,000</w:t>
            </w:r>
          </w:p>
        </w:tc>
        <w:tc>
          <w:tcPr>
            <w:tcW w:w="1180" w:type="dxa"/>
            <w:tcBorders>
              <w:top w:val="nil"/>
              <w:left w:val="nil"/>
              <w:bottom w:val="single" w:sz="8"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$23,313,000</w:t>
            </w:r>
          </w:p>
        </w:tc>
      </w:tr>
      <w:tr w:rsidR="000B57F6" w:rsidRPr="000B57F6" w:rsidTr="000B57F6">
        <w:trPr>
          <w:gridAfter w:val="1"/>
          <w:wAfter w:w="11" w:type="dxa"/>
          <w:trHeight w:val="330"/>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1665" w:type="dxa"/>
            <w:gridSpan w:val="2"/>
            <w:tcBorders>
              <w:top w:val="single" w:sz="8" w:space="0" w:color="auto"/>
              <w:left w:val="single" w:sz="8" w:space="0" w:color="auto"/>
              <w:bottom w:val="single" w:sz="8" w:space="0" w:color="auto"/>
              <w:right w:val="single" w:sz="8" w:space="0" w:color="000000"/>
            </w:tcBorders>
            <w:shd w:val="clear" w:color="000000" w:fill="F79646"/>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PEPM</w:t>
            </w:r>
          </w:p>
        </w:tc>
        <w:tc>
          <w:tcPr>
            <w:tcW w:w="1790" w:type="dxa"/>
            <w:gridSpan w:val="2"/>
            <w:tcBorders>
              <w:top w:val="nil"/>
              <w:left w:val="nil"/>
              <w:bottom w:val="nil"/>
              <w:right w:val="single" w:sz="8" w:space="0" w:color="000000"/>
            </w:tcBorders>
            <w:shd w:val="clear" w:color="000000" w:fill="9BBB59"/>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Rate Structure</w:t>
            </w:r>
          </w:p>
        </w:tc>
        <w:tc>
          <w:tcPr>
            <w:tcW w:w="1831" w:type="dxa"/>
            <w:gridSpan w:val="2"/>
            <w:tcBorders>
              <w:top w:val="nil"/>
              <w:left w:val="nil"/>
              <w:bottom w:val="nil"/>
              <w:right w:val="single" w:sz="8" w:space="0" w:color="000000"/>
            </w:tcBorders>
            <w:shd w:val="clear" w:color="000000" w:fill="9BBB59"/>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 Tier Difference</w:t>
            </w:r>
          </w:p>
        </w:tc>
        <w:tc>
          <w:tcPr>
            <w:tcW w:w="1180" w:type="dxa"/>
            <w:tcBorders>
              <w:top w:val="nil"/>
              <w:left w:val="nil"/>
              <w:bottom w:val="nil"/>
              <w:right w:val="nil"/>
            </w:tcBorders>
            <w:shd w:val="clear" w:color="000000" w:fill="9BBB59"/>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ER % (0.82)</w:t>
            </w:r>
          </w:p>
        </w:tc>
      </w:tr>
      <w:tr w:rsidR="000B57F6" w:rsidRPr="000B57F6" w:rsidTr="000B57F6">
        <w:trPr>
          <w:gridAfter w:val="1"/>
          <w:wAfter w:w="11" w:type="dxa"/>
          <w:trHeight w:val="330"/>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1665" w:type="dxa"/>
            <w:gridSpan w:val="2"/>
            <w:tcBorders>
              <w:top w:val="nil"/>
              <w:left w:val="single" w:sz="8" w:space="0" w:color="auto"/>
              <w:bottom w:val="single" w:sz="8"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$650</w:t>
            </w:r>
          </w:p>
        </w:tc>
        <w:tc>
          <w:tcPr>
            <w:tcW w:w="95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w:t>
            </w:r>
          </w:p>
        </w:tc>
        <w:tc>
          <w:tcPr>
            <w:tcW w:w="834" w:type="dxa"/>
            <w:tcBorders>
              <w:top w:val="single" w:sz="8" w:space="0" w:color="auto"/>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w:t>
            </w:r>
          </w:p>
        </w:tc>
        <w:tc>
          <w:tcPr>
            <w:tcW w:w="1831"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$34</w:t>
            </w:r>
          </w:p>
        </w:tc>
        <w:tc>
          <w:tcPr>
            <w:tcW w:w="1180" w:type="dxa"/>
            <w:tcBorders>
              <w:top w:val="single" w:sz="8" w:space="0" w:color="auto"/>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93%</w:t>
            </w:r>
          </w:p>
        </w:tc>
      </w:tr>
      <w:tr w:rsidR="000B57F6" w:rsidRPr="000B57F6" w:rsidTr="000B57F6">
        <w:trPr>
          <w:gridAfter w:val="1"/>
          <w:wAfter w:w="11" w:type="dxa"/>
          <w:trHeight w:val="315"/>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895"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56"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1.1</w:t>
            </w:r>
          </w:p>
        </w:tc>
        <w:tc>
          <w:tcPr>
            <w:tcW w:w="834" w:type="dxa"/>
            <w:tcBorders>
              <w:top w:val="nil"/>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1.1</w:t>
            </w:r>
          </w:p>
        </w:tc>
        <w:tc>
          <w:tcPr>
            <w:tcW w:w="1831"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$52</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87%</w:t>
            </w:r>
          </w:p>
        </w:tc>
      </w:tr>
      <w:tr w:rsidR="000B57F6" w:rsidRPr="000B57F6" w:rsidTr="000B57F6">
        <w:trPr>
          <w:gridAfter w:val="1"/>
          <w:wAfter w:w="11" w:type="dxa"/>
          <w:trHeight w:val="315"/>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95"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56"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1.3</w:t>
            </w:r>
          </w:p>
        </w:tc>
        <w:tc>
          <w:tcPr>
            <w:tcW w:w="834" w:type="dxa"/>
            <w:tcBorders>
              <w:top w:val="nil"/>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1.2</w:t>
            </w:r>
          </w:p>
        </w:tc>
        <w:tc>
          <w:tcPr>
            <w:tcW w:w="1831"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$86</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74%</w:t>
            </w:r>
          </w:p>
        </w:tc>
      </w:tr>
      <w:tr w:rsidR="000B57F6" w:rsidRPr="000B57F6" w:rsidTr="000B57F6">
        <w:trPr>
          <w:gridAfter w:val="1"/>
          <w:wAfter w:w="11" w:type="dxa"/>
          <w:trHeight w:val="330"/>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95"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56" w:type="dxa"/>
            <w:tcBorders>
              <w:top w:val="nil"/>
              <w:left w:val="single" w:sz="8" w:space="0" w:color="auto"/>
              <w:bottom w:val="single" w:sz="8"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1.4</w:t>
            </w:r>
          </w:p>
        </w:tc>
        <w:tc>
          <w:tcPr>
            <w:tcW w:w="834" w:type="dxa"/>
            <w:tcBorders>
              <w:top w:val="nil"/>
              <w:left w:val="nil"/>
              <w:bottom w:val="single" w:sz="8"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1.3</w:t>
            </w:r>
          </w:p>
        </w:tc>
        <w:tc>
          <w:tcPr>
            <w:tcW w:w="1831" w:type="dxa"/>
            <w:gridSpan w:val="2"/>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$110</w:t>
            </w:r>
          </w:p>
        </w:tc>
        <w:tc>
          <w:tcPr>
            <w:tcW w:w="1180" w:type="dxa"/>
            <w:tcBorders>
              <w:top w:val="nil"/>
              <w:left w:val="nil"/>
              <w:bottom w:val="single" w:sz="8"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68%</w:t>
            </w:r>
          </w:p>
        </w:tc>
      </w:tr>
      <w:tr w:rsidR="000B57F6" w:rsidRPr="000B57F6" w:rsidTr="000B57F6">
        <w:trPr>
          <w:trHeight w:val="315"/>
        </w:trPr>
        <w:tc>
          <w:tcPr>
            <w:tcW w:w="8597" w:type="dxa"/>
            <w:gridSpan w:val="9"/>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 Albemarle is funding for $28,988,000 and the projected increase was $29,868,000. The deficit ($880,000) is being paid by reserves.</w:t>
            </w:r>
          </w:p>
        </w:tc>
      </w:tr>
      <w:tr w:rsidR="000B57F6" w:rsidRPr="000B57F6" w:rsidTr="000B57F6">
        <w:trPr>
          <w:trHeight w:val="315"/>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95"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956"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34"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997"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34"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118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95"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956"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34"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997"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34"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118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3785" w:type="dxa"/>
            <w:gridSpan w:val="3"/>
            <w:tcBorders>
              <w:top w:val="single" w:sz="8" w:space="0" w:color="auto"/>
              <w:left w:val="single" w:sz="8" w:space="0" w:color="auto"/>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Re-allocated Structure - 10/14 PLAN YEAR</w:t>
            </w:r>
          </w:p>
        </w:tc>
        <w:tc>
          <w:tcPr>
            <w:tcW w:w="956"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834"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997"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834"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1180" w:type="dxa"/>
            <w:tcBorders>
              <w:top w:val="single" w:sz="8" w:space="0" w:color="auto"/>
              <w:left w:val="nil"/>
              <w:bottom w:val="single" w:sz="8" w:space="0" w:color="auto"/>
              <w:right w:val="nil"/>
            </w:tcBorders>
            <w:shd w:val="clear" w:color="000000" w:fill="1F497D"/>
            <w:noWrap/>
            <w:vAlign w:val="bottom"/>
            <w:hideMark/>
          </w:tcPr>
          <w:p w:rsidR="000B57F6" w:rsidRPr="000B57F6" w:rsidRDefault="000B57F6" w:rsidP="000B57F6">
            <w:pPr>
              <w:spacing w:after="0" w:line="240" w:lineRule="auto"/>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 </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2120" w:type="dxa"/>
            <w:tcBorders>
              <w:top w:val="nil"/>
              <w:left w:val="single" w:sz="8" w:space="0" w:color="auto"/>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 </w:t>
            </w:r>
          </w:p>
        </w:tc>
        <w:tc>
          <w:tcPr>
            <w:tcW w:w="1665" w:type="dxa"/>
            <w:gridSpan w:val="2"/>
            <w:tcBorders>
              <w:top w:val="nil"/>
              <w:left w:val="single" w:sz="8" w:space="0" w:color="auto"/>
              <w:bottom w:val="single" w:sz="8"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Enrollment, 1/14</w:t>
            </w:r>
          </w:p>
        </w:tc>
        <w:tc>
          <w:tcPr>
            <w:tcW w:w="1790" w:type="dxa"/>
            <w:gridSpan w:val="2"/>
            <w:tcBorders>
              <w:top w:val="nil"/>
              <w:left w:val="nil"/>
              <w:bottom w:val="nil"/>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10/14 Funding Rates</w:t>
            </w:r>
          </w:p>
        </w:tc>
        <w:tc>
          <w:tcPr>
            <w:tcW w:w="1831" w:type="dxa"/>
            <w:gridSpan w:val="2"/>
            <w:tcBorders>
              <w:top w:val="nil"/>
              <w:left w:val="nil"/>
              <w:bottom w:val="nil"/>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Actives/Retirees Pay</w:t>
            </w:r>
          </w:p>
        </w:tc>
        <w:tc>
          <w:tcPr>
            <w:tcW w:w="1180" w:type="dxa"/>
            <w:tcBorders>
              <w:top w:val="nil"/>
              <w:left w:val="nil"/>
              <w:bottom w:val="nil"/>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Employer Pays</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2120" w:type="dxa"/>
            <w:tcBorders>
              <w:top w:val="single" w:sz="4" w:space="0" w:color="auto"/>
              <w:left w:val="single" w:sz="8" w:space="0" w:color="auto"/>
              <w:bottom w:val="nil"/>
              <w:right w:val="nil"/>
            </w:tcBorders>
            <w:shd w:val="clear" w:color="000000" w:fill="0070C0"/>
            <w:noWrap/>
            <w:vAlign w:val="bottom"/>
            <w:hideMark/>
          </w:tcPr>
          <w:p w:rsidR="000B57F6" w:rsidRPr="000B57F6" w:rsidRDefault="000B57F6" w:rsidP="000B57F6">
            <w:pPr>
              <w:spacing w:after="0" w:line="240" w:lineRule="auto"/>
              <w:rPr>
                <w:rFonts w:ascii="Times New Roman" w:eastAsia="Times New Roman" w:hAnsi="Times New Roman"/>
                <w:color w:val="FFFFFF"/>
                <w:sz w:val="16"/>
                <w:szCs w:val="16"/>
              </w:rPr>
            </w:pPr>
            <w:r w:rsidRPr="000B57F6">
              <w:rPr>
                <w:rFonts w:ascii="Times New Roman" w:eastAsia="Times New Roman" w:hAnsi="Times New Roman"/>
                <w:color w:val="FFFFFF"/>
                <w:sz w:val="16"/>
                <w:szCs w:val="16"/>
              </w:rPr>
              <w:t> </w:t>
            </w:r>
          </w:p>
        </w:tc>
        <w:tc>
          <w:tcPr>
            <w:tcW w:w="895" w:type="dxa"/>
            <w:tcBorders>
              <w:top w:val="nil"/>
              <w:left w:val="single" w:sz="8" w:space="0" w:color="auto"/>
              <w:bottom w:val="nil"/>
              <w:right w:val="single" w:sz="4"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Plus</w:t>
            </w:r>
          </w:p>
        </w:tc>
        <w:tc>
          <w:tcPr>
            <w:tcW w:w="770" w:type="dxa"/>
            <w:tcBorders>
              <w:top w:val="nil"/>
              <w:left w:val="nil"/>
              <w:bottom w:val="nil"/>
              <w:right w:val="nil"/>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Basic</w:t>
            </w:r>
          </w:p>
        </w:tc>
        <w:tc>
          <w:tcPr>
            <w:tcW w:w="956" w:type="dxa"/>
            <w:tcBorders>
              <w:top w:val="single" w:sz="8" w:space="0" w:color="auto"/>
              <w:left w:val="single" w:sz="8" w:space="0" w:color="auto"/>
              <w:bottom w:val="single" w:sz="8" w:space="0" w:color="auto"/>
              <w:right w:val="single" w:sz="4"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Plus</w:t>
            </w:r>
          </w:p>
        </w:tc>
        <w:tc>
          <w:tcPr>
            <w:tcW w:w="834" w:type="dxa"/>
            <w:tcBorders>
              <w:top w:val="single" w:sz="8" w:space="0" w:color="auto"/>
              <w:left w:val="nil"/>
              <w:bottom w:val="single" w:sz="8" w:space="0" w:color="auto"/>
              <w:right w:val="single" w:sz="8"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Basic</w:t>
            </w:r>
          </w:p>
        </w:tc>
        <w:tc>
          <w:tcPr>
            <w:tcW w:w="997" w:type="dxa"/>
            <w:tcBorders>
              <w:top w:val="single" w:sz="8" w:space="0" w:color="auto"/>
              <w:left w:val="nil"/>
              <w:bottom w:val="single" w:sz="8" w:space="0" w:color="auto"/>
              <w:right w:val="single" w:sz="4"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Plus</w:t>
            </w:r>
          </w:p>
        </w:tc>
        <w:tc>
          <w:tcPr>
            <w:tcW w:w="834" w:type="dxa"/>
            <w:tcBorders>
              <w:top w:val="single" w:sz="8" w:space="0" w:color="auto"/>
              <w:left w:val="nil"/>
              <w:bottom w:val="single" w:sz="8" w:space="0" w:color="auto"/>
              <w:right w:val="single" w:sz="8"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Basic</w:t>
            </w:r>
          </w:p>
        </w:tc>
        <w:tc>
          <w:tcPr>
            <w:tcW w:w="1180" w:type="dxa"/>
            <w:tcBorders>
              <w:top w:val="single" w:sz="8" w:space="0" w:color="auto"/>
              <w:left w:val="nil"/>
              <w:bottom w:val="single" w:sz="8" w:space="0" w:color="auto"/>
              <w:right w:val="single" w:sz="4" w:space="0" w:color="auto"/>
            </w:tcBorders>
            <w:shd w:val="clear" w:color="000000" w:fill="0070C0"/>
            <w:vAlign w:val="bottom"/>
            <w:hideMark/>
          </w:tcPr>
          <w:p w:rsidR="000B57F6" w:rsidRPr="000B57F6" w:rsidRDefault="000B57F6" w:rsidP="000B57F6">
            <w:pPr>
              <w:spacing w:after="0" w:line="240" w:lineRule="auto"/>
              <w:jc w:val="center"/>
              <w:rPr>
                <w:rFonts w:ascii="Times New Roman" w:eastAsia="Times New Roman" w:hAnsi="Times New Roman"/>
                <w:b/>
                <w:bCs/>
                <w:color w:val="FFFFFF"/>
                <w:sz w:val="16"/>
                <w:szCs w:val="16"/>
              </w:rPr>
            </w:pPr>
            <w:r w:rsidRPr="000B57F6">
              <w:rPr>
                <w:rFonts w:ascii="Times New Roman" w:eastAsia="Times New Roman" w:hAnsi="Times New Roman"/>
                <w:b/>
                <w:bCs/>
                <w:color w:val="FFFFFF"/>
                <w:sz w:val="16"/>
                <w:szCs w:val="16"/>
              </w:rPr>
              <w:t>Plus</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15"/>
        </w:trPr>
        <w:tc>
          <w:tcPr>
            <w:tcW w:w="2120" w:type="dxa"/>
            <w:tcBorders>
              <w:top w:val="single" w:sz="8" w:space="0" w:color="auto"/>
              <w:left w:val="single" w:sz="8" w:space="0" w:color="auto"/>
              <w:bottom w:val="single" w:sz="4" w:space="0" w:color="auto"/>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Employee</w:t>
            </w:r>
          </w:p>
        </w:tc>
        <w:tc>
          <w:tcPr>
            <w:tcW w:w="89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1026</w:t>
            </w:r>
          </w:p>
        </w:tc>
        <w:tc>
          <w:tcPr>
            <w:tcW w:w="770" w:type="dxa"/>
            <w:tcBorders>
              <w:top w:val="single" w:sz="4" w:space="0" w:color="auto"/>
              <w:left w:val="nil"/>
              <w:bottom w:val="single" w:sz="4" w:space="0" w:color="auto"/>
              <w:right w:val="single" w:sz="4" w:space="0" w:color="auto"/>
            </w:tcBorders>
            <w:shd w:val="clear" w:color="000000" w:fill="FFFFFF"/>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258</w:t>
            </w:r>
          </w:p>
        </w:tc>
        <w:tc>
          <w:tcPr>
            <w:tcW w:w="956"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$449</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$405</w:t>
            </w:r>
          </w:p>
        </w:tc>
        <w:tc>
          <w:tcPr>
            <w:tcW w:w="997"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$56</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$12</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$393</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15"/>
        </w:trPr>
        <w:tc>
          <w:tcPr>
            <w:tcW w:w="2120" w:type="dxa"/>
            <w:tcBorders>
              <w:top w:val="nil"/>
              <w:left w:val="single" w:sz="8" w:space="0" w:color="auto"/>
              <w:bottom w:val="single" w:sz="4" w:space="0" w:color="auto"/>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Employee + Child</w:t>
            </w:r>
          </w:p>
        </w:tc>
        <w:tc>
          <w:tcPr>
            <w:tcW w:w="895" w:type="dxa"/>
            <w:tcBorders>
              <w:top w:val="nil"/>
              <w:left w:val="single" w:sz="4" w:space="0" w:color="auto"/>
              <w:bottom w:val="single" w:sz="4" w:space="0" w:color="auto"/>
              <w:right w:val="single" w:sz="4" w:space="0" w:color="auto"/>
            </w:tcBorders>
            <w:shd w:val="clear" w:color="000000" w:fill="FFFFFF"/>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283</w:t>
            </w:r>
          </w:p>
        </w:tc>
        <w:tc>
          <w:tcPr>
            <w:tcW w:w="770" w:type="dxa"/>
            <w:tcBorders>
              <w:top w:val="nil"/>
              <w:left w:val="nil"/>
              <w:bottom w:val="single" w:sz="4" w:space="0" w:color="auto"/>
              <w:right w:val="single" w:sz="4" w:space="0" w:color="auto"/>
            </w:tcBorders>
            <w:shd w:val="clear" w:color="000000" w:fill="FFFFFF"/>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50</w:t>
            </w:r>
          </w:p>
        </w:tc>
        <w:tc>
          <w:tcPr>
            <w:tcW w:w="956"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$639</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$577</w:t>
            </w:r>
          </w:p>
        </w:tc>
        <w:tc>
          <w:tcPr>
            <w:tcW w:w="997"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$101</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$39</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$538</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15"/>
        </w:trPr>
        <w:tc>
          <w:tcPr>
            <w:tcW w:w="2120" w:type="dxa"/>
            <w:tcBorders>
              <w:top w:val="nil"/>
              <w:left w:val="single" w:sz="8" w:space="0" w:color="auto"/>
              <w:bottom w:val="single" w:sz="4" w:space="0" w:color="auto"/>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Employee + Children or Spouse</w:t>
            </w:r>
          </w:p>
        </w:tc>
        <w:tc>
          <w:tcPr>
            <w:tcW w:w="895" w:type="dxa"/>
            <w:tcBorders>
              <w:top w:val="nil"/>
              <w:left w:val="single" w:sz="4" w:space="0" w:color="auto"/>
              <w:bottom w:val="single" w:sz="4" w:space="0" w:color="auto"/>
              <w:right w:val="single" w:sz="4" w:space="0" w:color="auto"/>
            </w:tcBorders>
            <w:shd w:val="clear" w:color="000000" w:fill="FFFFFF"/>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452</w:t>
            </w:r>
          </w:p>
        </w:tc>
        <w:tc>
          <w:tcPr>
            <w:tcW w:w="770" w:type="dxa"/>
            <w:tcBorders>
              <w:top w:val="nil"/>
              <w:left w:val="nil"/>
              <w:bottom w:val="single" w:sz="4" w:space="0" w:color="auto"/>
              <w:right w:val="single" w:sz="4" w:space="0" w:color="auto"/>
            </w:tcBorders>
            <w:shd w:val="clear" w:color="000000" w:fill="FFFFFF"/>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93</w:t>
            </w:r>
          </w:p>
        </w:tc>
        <w:tc>
          <w:tcPr>
            <w:tcW w:w="956"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$949</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$856</w:t>
            </w:r>
          </w:p>
        </w:tc>
        <w:tc>
          <w:tcPr>
            <w:tcW w:w="997"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$232</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$139</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$717</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2120" w:type="dxa"/>
            <w:tcBorders>
              <w:top w:val="nil"/>
              <w:left w:val="single" w:sz="8" w:space="0" w:color="auto"/>
              <w:bottom w:val="single" w:sz="4" w:space="0" w:color="auto"/>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sz w:val="16"/>
                <w:szCs w:val="16"/>
              </w:rPr>
            </w:pPr>
            <w:r w:rsidRPr="000B57F6">
              <w:rPr>
                <w:rFonts w:ascii="Times New Roman" w:eastAsia="Times New Roman" w:hAnsi="Times New Roman"/>
                <w:sz w:val="16"/>
                <w:szCs w:val="16"/>
              </w:rPr>
              <w:t>Family</w:t>
            </w:r>
          </w:p>
        </w:tc>
        <w:tc>
          <w:tcPr>
            <w:tcW w:w="895" w:type="dxa"/>
            <w:tcBorders>
              <w:top w:val="nil"/>
              <w:left w:val="single" w:sz="4" w:space="0" w:color="auto"/>
              <w:bottom w:val="single" w:sz="4" w:space="0" w:color="auto"/>
              <w:right w:val="single" w:sz="4" w:space="0" w:color="auto"/>
            </w:tcBorders>
            <w:shd w:val="clear" w:color="000000" w:fill="FFFFFF"/>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651</w:t>
            </w:r>
          </w:p>
        </w:tc>
        <w:tc>
          <w:tcPr>
            <w:tcW w:w="770" w:type="dxa"/>
            <w:tcBorders>
              <w:top w:val="nil"/>
              <w:left w:val="nil"/>
              <w:bottom w:val="single" w:sz="4" w:space="0" w:color="auto"/>
              <w:right w:val="single" w:sz="4" w:space="0" w:color="auto"/>
            </w:tcBorders>
            <w:shd w:val="clear" w:color="000000" w:fill="FFFFFF"/>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178</w:t>
            </w:r>
          </w:p>
        </w:tc>
        <w:tc>
          <w:tcPr>
            <w:tcW w:w="956"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$1,361</w:t>
            </w:r>
          </w:p>
        </w:tc>
        <w:tc>
          <w:tcPr>
            <w:tcW w:w="834" w:type="dxa"/>
            <w:tcBorders>
              <w:top w:val="nil"/>
              <w:left w:val="nil"/>
              <w:bottom w:val="single" w:sz="4" w:space="0" w:color="auto"/>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$1,227</w:t>
            </w:r>
          </w:p>
        </w:tc>
        <w:tc>
          <w:tcPr>
            <w:tcW w:w="997" w:type="dxa"/>
            <w:tcBorders>
              <w:top w:val="nil"/>
              <w:left w:val="nil"/>
              <w:bottom w:val="nil"/>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$316</w:t>
            </w:r>
          </w:p>
        </w:tc>
        <w:tc>
          <w:tcPr>
            <w:tcW w:w="834" w:type="dxa"/>
            <w:tcBorders>
              <w:top w:val="nil"/>
              <w:left w:val="nil"/>
              <w:bottom w:val="nil"/>
              <w:right w:val="single" w:sz="8"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$182</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sz w:val="16"/>
                <w:szCs w:val="16"/>
              </w:rPr>
            </w:pPr>
            <w:r w:rsidRPr="000B57F6">
              <w:rPr>
                <w:rFonts w:ascii="Times New Roman" w:eastAsia="Times New Roman" w:hAnsi="Times New Roman"/>
                <w:sz w:val="16"/>
                <w:szCs w:val="16"/>
              </w:rPr>
              <w:t>$1,045</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15"/>
        </w:trPr>
        <w:tc>
          <w:tcPr>
            <w:tcW w:w="2120" w:type="dxa"/>
            <w:tcBorders>
              <w:top w:val="nil"/>
              <w:left w:val="single" w:sz="8" w:space="0" w:color="auto"/>
              <w:bottom w:val="single" w:sz="4" w:space="0" w:color="auto"/>
              <w:right w:val="nil"/>
            </w:tcBorders>
            <w:shd w:val="clear" w:color="000000" w:fill="8DB4E3"/>
            <w:noWrap/>
            <w:vAlign w:val="bottom"/>
            <w:hideMark/>
          </w:tcPr>
          <w:p w:rsidR="000B57F6" w:rsidRPr="000B57F6" w:rsidRDefault="000B57F6" w:rsidP="000B57F6">
            <w:pPr>
              <w:spacing w:after="0" w:line="240" w:lineRule="auto"/>
              <w:rPr>
                <w:rFonts w:ascii="Times New Roman" w:eastAsia="Times New Roman" w:hAnsi="Times New Roman"/>
                <w:b/>
                <w:bCs/>
                <w:sz w:val="16"/>
                <w:szCs w:val="16"/>
              </w:rPr>
            </w:pPr>
            <w:r w:rsidRPr="000B57F6">
              <w:rPr>
                <w:rFonts w:ascii="Times New Roman" w:eastAsia="Times New Roman" w:hAnsi="Times New Roman"/>
                <w:b/>
                <w:bCs/>
                <w:sz w:val="16"/>
                <w:szCs w:val="16"/>
              </w:rPr>
              <w:t>Monthly Total</w:t>
            </w:r>
          </w:p>
        </w:tc>
        <w:tc>
          <w:tcPr>
            <w:tcW w:w="895"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2412</w:t>
            </w:r>
          </w:p>
        </w:tc>
        <w:tc>
          <w:tcPr>
            <w:tcW w:w="770" w:type="dxa"/>
            <w:tcBorders>
              <w:top w:val="nil"/>
              <w:left w:val="single" w:sz="8" w:space="0" w:color="auto"/>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579</w:t>
            </w:r>
          </w:p>
        </w:tc>
        <w:tc>
          <w:tcPr>
            <w:tcW w:w="956" w:type="dxa"/>
            <w:tcBorders>
              <w:top w:val="nil"/>
              <w:left w:val="nil"/>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$1,955,900</w:t>
            </w:r>
          </w:p>
        </w:tc>
        <w:tc>
          <w:tcPr>
            <w:tcW w:w="834" w:type="dxa"/>
            <w:tcBorders>
              <w:top w:val="nil"/>
              <w:left w:val="nil"/>
              <w:bottom w:val="single" w:sz="4" w:space="0" w:color="auto"/>
              <w:right w:val="single" w:sz="8"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$431,192</w:t>
            </w:r>
          </w:p>
        </w:tc>
        <w:tc>
          <w:tcPr>
            <w:tcW w:w="997" w:type="dxa"/>
            <w:tcBorders>
              <w:top w:val="single" w:sz="4" w:space="0" w:color="auto"/>
              <w:left w:val="nil"/>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$396,619</w:t>
            </w:r>
          </w:p>
        </w:tc>
        <w:tc>
          <w:tcPr>
            <w:tcW w:w="834" w:type="dxa"/>
            <w:tcBorders>
              <w:top w:val="single" w:sz="4" w:space="0" w:color="auto"/>
              <w:left w:val="nil"/>
              <w:bottom w:val="single" w:sz="4" w:space="0" w:color="auto"/>
              <w:right w:val="single" w:sz="8"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$50,369</w:t>
            </w:r>
          </w:p>
        </w:tc>
        <w:tc>
          <w:tcPr>
            <w:tcW w:w="1180" w:type="dxa"/>
            <w:tcBorders>
              <w:top w:val="nil"/>
              <w:left w:val="nil"/>
              <w:bottom w:val="single" w:sz="4"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$1,559,281</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2120" w:type="dxa"/>
            <w:tcBorders>
              <w:top w:val="nil"/>
              <w:left w:val="single" w:sz="8" w:space="0" w:color="auto"/>
              <w:bottom w:val="single" w:sz="8" w:space="0" w:color="auto"/>
              <w:right w:val="nil"/>
            </w:tcBorders>
            <w:shd w:val="clear" w:color="000000" w:fill="8DB4E3"/>
            <w:noWrap/>
            <w:vAlign w:val="bottom"/>
            <w:hideMark/>
          </w:tcPr>
          <w:p w:rsidR="000B57F6" w:rsidRPr="000B57F6" w:rsidRDefault="000B57F6" w:rsidP="000B57F6">
            <w:pPr>
              <w:spacing w:after="0" w:line="240" w:lineRule="auto"/>
              <w:rPr>
                <w:rFonts w:ascii="Times New Roman" w:eastAsia="Times New Roman" w:hAnsi="Times New Roman"/>
                <w:b/>
                <w:bCs/>
                <w:sz w:val="16"/>
                <w:szCs w:val="16"/>
              </w:rPr>
            </w:pPr>
            <w:r w:rsidRPr="000B57F6">
              <w:rPr>
                <w:rFonts w:ascii="Times New Roman" w:eastAsia="Times New Roman" w:hAnsi="Times New Roman"/>
                <w:b/>
                <w:bCs/>
                <w:sz w:val="16"/>
                <w:szCs w:val="16"/>
              </w:rPr>
              <w:t>Annual Total</w:t>
            </w:r>
          </w:p>
        </w:tc>
        <w:tc>
          <w:tcPr>
            <w:tcW w:w="1665" w:type="dxa"/>
            <w:gridSpan w:val="2"/>
            <w:tcBorders>
              <w:top w:val="single" w:sz="4" w:space="0" w:color="auto"/>
              <w:left w:val="single" w:sz="8" w:space="0" w:color="auto"/>
              <w:bottom w:val="single" w:sz="8" w:space="0" w:color="auto"/>
              <w:right w:val="single" w:sz="8" w:space="0" w:color="000000"/>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2991</w:t>
            </w:r>
          </w:p>
        </w:tc>
        <w:tc>
          <w:tcPr>
            <w:tcW w:w="1790" w:type="dxa"/>
            <w:gridSpan w:val="2"/>
            <w:tcBorders>
              <w:top w:val="single" w:sz="4" w:space="0" w:color="auto"/>
              <w:left w:val="nil"/>
              <w:bottom w:val="single" w:sz="8" w:space="0" w:color="auto"/>
              <w:right w:val="single" w:sz="8" w:space="0" w:color="000000"/>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$28,645,000</w:t>
            </w:r>
          </w:p>
        </w:tc>
        <w:tc>
          <w:tcPr>
            <w:tcW w:w="1831" w:type="dxa"/>
            <w:gridSpan w:val="2"/>
            <w:tcBorders>
              <w:top w:val="single" w:sz="4" w:space="0" w:color="auto"/>
              <w:left w:val="nil"/>
              <w:bottom w:val="single" w:sz="8" w:space="0" w:color="auto"/>
              <w:right w:val="single" w:sz="8" w:space="0" w:color="000000"/>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$5,364,000</w:t>
            </w:r>
          </w:p>
        </w:tc>
        <w:tc>
          <w:tcPr>
            <w:tcW w:w="1180" w:type="dxa"/>
            <w:tcBorders>
              <w:top w:val="nil"/>
              <w:left w:val="nil"/>
              <w:bottom w:val="single" w:sz="8" w:space="0" w:color="auto"/>
              <w:right w:val="single" w:sz="4" w:space="0" w:color="auto"/>
            </w:tcBorders>
            <w:shd w:val="clear" w:color="000000" w:fill="8DB4E3"/>
            <w:noWrap/>
            <w:vAlign w:val="bottom"/>
            <w:hideMark/>
          </w:tcPr>
          <w:p w:rsidR="000B57F6" w:rsidRPr="000B57F6" w:rsidRDefault="000B57F6" w:rsidP="000B57F6">
            <w:pPr>
              <w:spacing w:after="0" w:line="240" w:lineRule="auto"/>
              <w:jc w:val="center"/>
              <w:rPr>
                <w:rFonts w:ascii="Times New Roman" w:eastAsia="Times New Roman" w:hAnsi="Times New Roman"/>
                <w:b/>
                <w:bCs/>
                <w:sz w:val="16"/>
                <w:szCs w:val="16"/>
              </w:rPr>
            </w:pPr>
            <w:r w:rsidRPr="000B57F6">
              <w:rPr>
                <w:rFonts w:ascii="Times New Roman" w:eastAsia="Times New Roman" w:hAnsi="Times New Roman"/>
                <w:b/>
                <w:bCs/>
                <w:sz w:val="16"/>
                <w:szCs w:val="16"/>
              </w:rPr>
              <w:t>$23,281,000</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1665" w:type="dxa"/>
            <w:gridSpan w:val="2"/>
            <w:tcBorders>
              <w:top w:val="single" w:sz="8" w:space="0" w:color="auto"/>
              <w:left w:val="single" w:sz="8" w:space="0" w:color="auto"/>
              <w:bottom w:val="single" w:sz="8" w:space="0" w:color="auto"/>
              <w:right w:val="single" w:sz="8" w:space="0" w:color="000000"/>
            </w:tcBorders>
            <w:shd w:val="clear" w:color="000000" w:fill="F79646"/>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PEPM</w:t>
            </w:r>
          </w:p>
        </w:tc>
        <w:tc>
          <w:tcPr>
            <w:tcW w:w="1790" w:type="dxa"/>
            <w:gridSpan w:val="2"/>
            <w:tcBorders>
              <w:top w:val="single" w:sz="8" w:space="0" w:color="auto"/>
              <w:left w:val="nil"/>
              <w:bottom w:val="nil"/>
              <w:right w:val="single" w:sz="8" w:space="0" w:color="000000"/>
            </w:tcBorders>
            <w:shd w:val="clear" w:color="000000" w:fill="9BBB59"/>
            <w:noWrap/>
            <w:vAlign w:val="bottom"/>
            <w:hideMark/>
          </w:tcPr>
          <w:p w:rsidR="000B57F6" w:rsidRPr="000B57F6" w:rsidRDefault="000B57F6" w:rsidP="000B57F6">
            <w:pPr>
              <w:spacing w:after="0" w:line="240" w:lineRule="auto"/>
              <w:jc w:val="center"/>
              <w:rPr>
                <w:rFonts w:ascii="Times New Roman" w:eastAsia="Times New Roman" w:hAnsi="Times New Roman"/>
                <w:b/>
                <w:bCs/>
                <w:color w:val="000000"/>
                <w:sz w:val="16"/>
                <w:szCs w:val="16"/>
              </w:rPr>
            </w:pPr>
            <w:r w:rsidRPr="000B57F6">
              <w:rPr>
                <w:rFonts w:ascii="Times New Roman" w:eastAsia="Times New Roman" w:hAnsi="Times New Roman"/>
                <w:b/>
                <w:bCs/>
                <w:color w:val="000000"/>
                <w:sz w:val="16"/>
                <w:szCs w:val="16"/>
              </w:rPr>
              <w:t>Rate Structure</w:t>
            </w:r>
          </w:p>
        </w:tc>
        <w:tc>
          <w:tcPr>
            <w:tcW w:w="1831" w:type="dxa"/>
            <w:gridSpan w:val="2"/>
            <w:tcBorders>
              <w:top w:val="single" w:sz="8" w:space="0" w:color="auto"/>
              <w:left w:val="nil"/>
              <w:bottom w:val="nil"/>
              <w:right w:val="single" w:sz="8" w:space="0" w:color="000000"/>
            </w:tcBorders>
            <w:shd w:val="clear" w:color="000000" w:fill="9BBB59"/>
            <w:noWrap/>
            <w:vAlign w:val="bottom"/>
            <w:hideMark/>
          </w:tcPr>
          <w:p w:rsidR="000B57F6" w:rsidRPr="000B57F6" w:rsidRDefault="000B57F6" w:rsidP="000B57F6">
            <w:pPr>
              <w:spacing w:after="0" w:line="240" w:lineRule="auto"/>
              <w:jc w:val="center"/>
              <w:rPr>
                <w:rFonts w:ascii="Times New Roman" w:eastAsia="Times New Roman" w:hAnsi="Times New Roman"/>
                <w:b/>
                <w:bCs/>
                <w:color w:val="000000"/>
                <w:sz w:val="16"/>
                <w:szCs w:val="16"/>
              </w:rPr>
            </w:pPr>
            <w:r w:rsidRPr="000B57F6">
              <w:rPr>
                <w:rFonts w:ascii="Times New Roman" w:eastAsia="Times New Roman" w:hAnsi="Times New Roman"/>
                <w:b/>
                <w:bCs/>
                <w:color w:val="000000"/>
                <w:sz w:val="16"/>
                <w:szCs w:val="16"/>
              </w:rPr>
              <w:t>$ Tier Difference</w:t>
            </w:r>
          </w:p>
        </w:tc>
        <w:tc>
          <w:tcPr>
            <w:tcW w:w="1180" w:type="dxa"/>
            <w:tcBorders>
              <w:top w:val="nil"/>
              <w:left w:val="nil"/>
              <w:bottom w:val="single" w:sz="8" w:space="0" w:color="auto"/>
              <w:right w:val="nil"/>
            </w:tcBorders>
            <w:shd w:val="clear" w:color="000000" w:fill="9BBB59"/>
            <w:noWrap/>
            <w:vAlign w:val="bottom"/>
            <w:hideMark/>
          </w:tcPr>
          <w:p w:rsidR="000B57F6" w:rsidRPr="000B57F6" w:rsidRDefault="000B57F6" w:rsidP="000B57F6">
            <w:pPr>
              <w:spacing w:after="0" w:line="240" w:lineRule="auto"/>
              <w:jc w:val="center"/>
              <w:rPr>
                <w:rFonts w:ascii="Times New Roman" w:eastAsia="Times New Roman" w:hAnsi="Times New Roman"/>
                <w:b/>
                <w:bCs/>
                <w:color w:val="000000"/>
                <w:sz w:val="16"/>
                <w:szCs w:val="16"/>
              </w:rPr>
            </w:pPr>
            <w:r w:rsidRPr="000B57F6">
              <w:rPr>
                <w:rFonts w:ascii="Times New Roman" w:eastAsia="Times New Roman" w:hAnsi="Times New Roman"/>
                <w:b/>
                <w:bCs/>
                <w:color w:val="000000"/>
                <w:sz w:val="16"/>
                <w:szCs w:val="16"/>
              </w:rPr>
              <w:t>ER % (0.81)</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1665" w:type="dxa"/>
            <w:gridSpan w:val="2"/>
            <w:tcBorders>
              <w:top w:val="nil"/>
              <w:left w:val="single" w:sz="8" w:space="0" w:color="auto"/>
              <w:bottom w:val="single" w:sz="8"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$649</w:t>
            </w:r>
          </w:p>
        </w:tc>
        <w:tc>
          <w:tcPr>
            <w:tcW w:w="956" w:type="dxa"/>
            <w:tcBorders>
              <w:top w:val="single" w:sz="8" w:space="0" w:color="auto"/>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w:t>
            </w:r>
          </w:p>
        </w:tc>
        <w:tc>
          <w:tcPr>
            <w:tcW w:w="834" w:type="dxa"/>
            <w:tcBorders>
              <w:top w:val="single" w:sz="8" w:space="0" w:color="auto"/>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w:t>
            </w:r>
          </w:p>
        </w:tc>
        <w:tc>
          <w:tcPr>
            <w:tcW w:w="1831"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$44</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88%</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15"/>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895"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56"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1.4</w:t>
            </w:r>
          </w:p>
        </w:tc>
        <w:tc>
          <w:tcPr>
            <w:tcW w:w="834" w:type="dxa"/>
            <w:tcBorders>
              <w:top w:val="nil"/>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1.4</w:t>
            </w:r>
          </w:p>
        </w:tc>
        <w:tc>
          <w:tcPr>
            <w:tcW w:w="1831"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$62</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84%</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15"/>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95"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56" w:type="dxa"/>
            <w:tcBorders>
              <w:top w:val="nil"/>
              <w:left w:val="single" w:sz="8" w:space="0" w:color="auto"/>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2.1</w:t>
            </w:r>
          </w:p>
        </w:tc>
        <w:tc>
          <w:tcPr>
            <w:tcW w:w="834" w:type="dxa"/>
            <w:tcBorders>
              <w:top w:val="nil"/>
              <w:left w:val="nil"/>
              <w:bottom w:val="single" w:sz="4"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2.1</w:t>
            </w:r>
          </w:p>
        </w:tc>
        <w:tc>
          <w:tcPr>
            <w:tcW w:w="1831"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$93</w:t>
            </w:r>
          </w:p>
        </w:tc>
        <w:tc>
          <w:tcPr>
            <w:tcW w:w="1180" w:type="dxa"/>
            <w:tcBorders>
              <w:top w:val="nil"/>
              <w:left w:val="nil"/>
              <w:bottom w:val="single" w:sz="4"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76%</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r w:rsidR="000B57F6" w:rsidRPr="000B57F6" w:rsidTr="000B57F6">
        <w:trPr>
          <w:trHeight w:val="330"/>
        </w:trPr>
        <w:tc>
          <w:tcPr>
            <w:tcW w:w="212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ascii="Times New Roman" w:eastAsia="Times New Roman" w:hAnsi="Times New Roman"/>
                <w:color w:val="000000"/>
                <w:sz w:val="16"/>
                <w:szCs w:val="16"/>
              </w:rPr>
            </w:pPr>
          </w:p>
        </w:tc>
        <w:tc>
          <w:tcPr>
            <w:tcW w:w="895"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770" w:type="dxa"/>
            <w:tcBorders>
              <w:top w:val="nil"/>
              <w:left w:val="nil"/>
              <w:bottom w:val="nil"/>
              <w:right w:val="nil"/>
            </w:tcBorders>
            <w:shd w:val="clear" w:color="auto" w:fill="auto"/>
            <w:noWrap/>
            <w:vAlign w:val="bottom"/>
            <w:hideMark/>
          </w:tcPr>
          <w:p w:rsidR="000B57F6" w:rsidRPr="000B57F6" w:rsidRDefault="000B57F6" w:rsidP="000B57F6">
            <w:pPr>
              <w:spacing w:after="0" w:line="240" w:lineRule="auto"/>
              <w:rPr>
                <w:rFonts w:eastAsia="Times New Roman" w:cs="Calibri"/>
                <w:color w:val="000000"/>
                <w:sz w:val="16"/>
                <w:szCs w:val="16"/>
              </w:rPr>
            </w:pPr>
          </w:p>
        </w:tc>
        <w:tc>
          <w:tcPr>
            <w:tcW w:w="956" w:type="dxa"/>
            <w:tcBorders>
              <w:top w:val="nil"/>
              <w:left w:val="single" w:sz="8" w:space="0" w:color="auto"/>
              <w:bottom w:val="single" w:sz="8"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3.0</w:t>
            </w:r>
          </w:p>
        </w:tc>
        <w:tc>
          <w:tcPr>
            <w:tcW w:w="834" w:type="dxa"/>
            <w:tcBorders>
              <w:top w:val="nil"/>
              <w:left w:val="nil"/>
              <w:bottom w:val="single" w:sz="8" w:space="0" w:color="auto"/>
              <w:right w:val="nil"/>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3.0</w:t>
            </w:r>
          </w:p>
        </w:tc>
        <w:tc>
          <w:tcPr>
            <w:tcW w:w="1831" w:type="dxa"/>
            <w:gridSpan w:val="2"/>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$134</w:t>
            </w:r>
          </w:p>
        </w:tc>
        <w:tc>
          <w:tcPr>
            <w:tcW w:w="1180" w:type="dxa"/>
            <w:tcBorders>
              <w:top w:val="nil"/>
              <w:left w:val="nil"/>
              <w:bottom w:val="single" w:sz="8" w:space="0" w:color="auto"/>
              <w:right w:val="single" w:sz="4" w:space="0" w:color="auto"/>
            </w:tcBorders>
            <w:shd w:val="clear" w:color="auto" w:fill="auto"/>
            <w:noWrap/>
            <w:vAlign w:val="bottom"/>
            <w:hideMark/>
          </w:tcPr>
          <w:p w:rsidR="000B57F6" w:rsidRPr="000B57F6" w:rsidRDefault="000B57F6" w:rsidP="000B57F6">
            <w:pPr>
              <w:spacing w:after="0" w:line="240" w:lineRule="auto"/>
              <w:jc w:val="center"/>
              <w:rPr>
                <w:rFonts w:ascii="Times New Roman" w:eastAsia="Times New Roman" w:hAnsi="Times New Roman"/>
                <w:color w:val="000000"/>
                <w:sz w:val="16"/>
                <w:szCs w:val="16"/>
              </w:rPr>
            </w:pPr>
            <w:r w:rsidRPr="000B57F6">
              <w:rPr>
                <w:rFonts w:ascii="Times New Roman" w:eastAsia="Times New Roman" w:hAnsi="Times New Roman"/>
                <w:color w:val="000000"/>
                <w:sz w:val="16"/>
                <w:szCs w:val="16"/>
              </w:rPr>
              <w:t>77%</w:t>
            </w:r>
          </w:p>
        </w:tc>
        <w:tc>
          <w:tcPr>
            <w:tcW w:w="11" w:type="dxa"/>
            <w:vAlign w:val="center"/>
            <w:hideMark/>
          </w:tcPr>
          <w:p w:rsidR="000B57F6" w:rsidRPr="000B57F6" w:rsidRDefault="000B57F6" w:rsidP="000B57F6">
            <w:pPr>
              <w:spacing w:after="0" w:line="240" w:lineRule="auto"/>
              <w:rPr>
                <w:rFonts w:ascii="Times New Roman" w:eastAsia="Times New Roman" w:hAnsi="Times New Roman"/>
                <w:sz w:val="20"/>
                <w:szCs w:val="20"/>
              </w:rPr>
            </w:pPr>
          </w:p>
        </w:tc>
      </w:tr>
    </w:tbl>
    <w:p w:rsidR="00CE50B6" w:rsidRPr="00242AC6" w:rsidRDefault="00CE50B6" w:rsidP="005862E5">
      <w:pPr>
        <w:pStyle w:val="Body"/>
        <w:spacing w:line="240" w:lineRule="auto"/>
        <w:jc w:val="both"/>
        <w:rPr>
          <w:rFonts w:ascii="Arial" w:hAnsi="Arial" w:cs="Arial"/>
        </w:rPr>
      </w:pPr>
      <w:r w:rsidRPr="00242AC6">
        <w:rPr>
          <w:rFonts w:ascii="Arial" w:hAnsi="Arial" w:cs="Arial"/>
        </w:rPr>
        <w:t>:</w:t>
      </w:r>
    </w:p>
    <w:p w:rsidR="003B660A" w:rsidRDefault="00AD330F" w:rsidP="005862E5">
      <w:pPr>
        <w:pStyle w:val="Body"/>
        <w:spacing w:line="240" w:lineRule="auto"/>
        <w:jc w:val="both"/>
        <w:rPr>
          <w:rFonts w:ascii="Arial" w:hAnsi="Arial" w:cs="Arial"/>
        </w:rPr>
      </w:pPr>
      <w:r>
        <w:rPr>
          <w:rFonts w:ascii="Arial" w:hAnsi="Arial" w:cs="Arial"/>
        </w:rPr>
        <w:lastRenderedPageBreak/>
        <w:t>Currently, a benefits-</w:t>
      </w:r>
      <w:r w:rsidR="00617420" w:rsidRPr="009E0201">
        <w:rPr>
          <w:rFonts w:ascii="Arial" w:hAnsi="Arial" w:cs="Arial"/>
        </w:rPr>
        <w:t>eligible part-time employee receives a Board contribution amount</w:t>
      </w:r>
      <w:r>
        <w:rPr>
          <w:rFonts w:ascii="Arial" w:hAnsi="Arial" w:cs="Arial"/>
        </w:rPr>
        <w:t xml:space="preserve"> that is prorated to their full-</w:t>
      </w:r>
      <w:r w:rsidR="00617420" w:rsidRPr="009E0201">
        <w:rPr>
          <w:rFonts w:ascii="Arial" w:hAnsi="Arial" w:cs="Arial"/>
        </w:rPr>
        <w:t>time equivalency (FTE). Part</w:t>
      </w:r>
      <w:r>
        <w:rPr>
          <w:rFonts w:ascii="Arial" w:hAnsi="Arial" w:cs="Arial"/>
        </w:rPr>
        <w:t>-</w:t>
      </w:r>
      <w:r w:rsidR="00617420" w:rsidRPr="009E0201">
        <w:rPr>
          <w:rFonts w:ascii="Arial" w:hAnsi="Arial" w:cs="Arial"/>
        </w:rPr>
        <w:t xml:space="preserve">time employees are critical to providing services in several areas (teachers, teaching assistants, extended day enrichment program, </w:t>
      </w:r>
      <w:r>
        <w:rPr>
          <w:rFonts w:ascii="Arial" w:hAnsi="Arial" w:cs="Arial"/>
        </w:rPr>
        <w:t>child nutrition, etc.), so part-</w:t>
      </w:r>
      <w:r w:rsidR="00617420" w:rsidRPr="009E0201">
        <w:rPr>
          <w:rFonts w:ascii="Arial" w:hAnsi="Arial" w:cs="Arial"/>
        </w:rPr>
        <w:t xml:space="preserve">time employees who are covering families on the medical plan would see increased premium costs under the reallocation structure.  The HCEC </w:t>
      </w:r>
      <w:r w:rsidR="00617420">
        <w:rPr>
          <w:rFonts w:ascii="Arial" w:hAnsi="Arial" w:cs="Arial"/>
        </w:rPr>
        <w:t>evaluated</w:t>
      </w:r>
      <w:r w:rsidR="00617420" w:rsidRPr="009E0201">
        <w:rPr>
          <w:rFonts w:ascii="Arial" w:hAnsi="Arial" w:cs="Arial"/>
        </w:rPr>
        <w:t xml:space="preserve"> </w:t>
      </w:r>
      <w:r w:rsidR="00617420">
        <w:rPr>
          <w:rFonts w:ascii="Arial" w:hAnsi="Arial" w:cs="Arial"/>
        </w:rPr>
        <w:t xml:space="preserve">several </w:t>
      </w:r>
      <w:r w:rsidR="000E0AD7">
        <w:rPr>
          <w:rFonts w:ascii="Arial" w:hAnsi="Arial" w:cs="Arial"/>
        </w:rPr>
        <w:t>revised contribution strategies to base Board contribution on brackets of percent of FTE</w:t>
      </w:r>
      <w:r>
        <w:rPr>
          <w:rFonts w:ascii="Arial" w:hAnsi="Arial" w:cs="Arial"/>
        </w:rPr>
        <w:t xml:space="preserve"> to minimize the impact on part-</w:t>
      </w:r>
      <w:r w:rsidR="00617420" w:rsidRPr="009E0201">
        <w:rPr>
          <w:rFonts w:ascii="Arial" w:hAnsi="Arial" w:cs="Arial"/>
        </w:rPr>
        <w:t>time employees</w:t>
      </w:r>
      <w:r w:rsidR="003B660A">
        <w:rPr>
          <w:rFonts w:ascii="Arial" w:hAnsi="Arial" w:cs="Arial"/>
        </w:rPr>
        <w:t xml:space="preserve">.  </w:t>
      </w:r>
      <w:r>
        <w:rPr>
          <w:rFonts w:ascii="Arial" w:hAnsi="Arial" w:cs="Arial"/>
        </w:rPr>
        <w:t xml:space="preserve">At this time, </w:t>
      </w:r>
      <w:r w:rsidR="003B660A">
        <w:rPr>
          <w:rFonts w:ascii="Arial" w:hAnsi="Arial" w:cs="Arial"/>
        </w:rPr>
        <w:t xml:space="preserve">173 part-time employees are enrolled on our medical insurance plan. </w:t>
      </w:r>
    </w:p>
    <w:p w:rsidR="000E0AD7" w:rsidRDefault="003B660A" w:rsidP="00617420">
      <w:pPr>
        <w:pStyle w:val="Body"/>
        <w:rPr>
          <w:rFonts w:ascii="Arial" w:hAnsi="Arial" w:cs="Arial"/>
        </w:rPr>
      </w:pPr>
      <w:r w:rsidRPr="003B660A">
        <w:rPr>
          <w:rFonts w:ascii="Arial" w:hAnsi="Arial" w:cs="Arial"/>
          <w:noProof/>
        </w:rPr>
        <w:drawing>
          <wp:inline distT="0" distB="0" distL="0" distR="0">
            <wp:extent cx="4895850" cy="1885950"/>
            <wp:effectExtent l="19050" t="0" r="0" b="0"/>
            <wp:docPr id="4" name="Picture 3"/>
            <wp:cNvGraphicFramePr/>
            <a:graphic xmlns:a="http://schemas.openxmlformats.org/drawingml/2006/main">
              <a:graphicData uri="http://schemas.openxmlformats.org/drawingml/2006/picture">
                <pic:pic xmlns:pic="http://schemas.openxmlformats.org/drawingml/2006/picture">
                  <pic:nvPicPr>
                    <pic:cNvPr id="28678" name="Picture 6"/>
                    <pic:cNvPicPr>
                      <a:picLocks noChangeAspect="1" noChangeArrowheads="1"/>
                    </pic:cNvPicPr>
                  </pic:nvPicPr>
                  <pic:blipFill>
                    <a:blip r:embed="rId11" cstate="print"/>
                    <a:srcRect/>
                    <a:stretch>
                      <a:fillRect/>
                    </a:stretch>
                  </pic:blipFill>
                  <pic:spPr bwMode="auto">
                    <a:xfrm>
                      <a:off x="0" y="0"/>
                      <a:ext cx="4898695" cy="1887046"/>
                    </a:xfrm>
                    <a:prstGeom prst="rect">
                      <a:avLst/>
                    </a:prstGeom>
                    <a:noFill/>
                    <a:ln w="9525">
                      <a:noFill/>
                      <a:miter lim="800000"/>
                      <a:headEnd/>
                      <a:tailEnd/>
                    </a:ln>
                    <a:effectLst/>
                  </pic:spPr>
                </pic:pic>
              </a:graphicData>
            </a:graphic>
          </wp:inline>
        </w:drawing>
      </w:r>
      <w:r w:rsidR="000E0AD7">
        <w:rPr>
          <w:rFonts w:ascii="Arial" w:hAnsi="Arial" w:cs="Arial"/>
        </w:rPr>
        <w:t>:</w:t>
      </w:r>
    </w:p>
    <w:p w:rsidR="003B660A" w:rsidRDefault="003B660A" w:rsidP="00617420">
      <w:pPr>
        <w:pStyle w:val="Body"/>
        <w:rPr>
          <w:rFonts w:ascii="Arial" w:hAnsi="Arial" w:cs="Arial"/>
        </w:rPr>
      </w:pPr>
      <w:r>
        <w:rPr>
          <w:rFonts w:ascii="Arial" w:hAnsi="Arial" w:cs="Arial"/>
          <w:noProof/>
        </w:rPr>
        <w:drawing>
          <wp:inline distT="0" distB="0" distL="0" distR="0">
            <wp:extent cx="4895850" cy="3905250"/>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895850" cy="3905250"/>
                    </a:xfrm>
                    <a:prstGeom prst="rect">
                      <a:avLst/>
                    </a:prstGeom>
                    <a:noFill/>
                    <a:ln w="9525">
                      <a:noFill/>
                      <a:miter lim="800000"/>
                      <a:headEnd/>
                      <a:tailEnd/>
                    </a:ln>
                  </pic:spPr>
                </pic:pic>
              </a:graphicData>
            </a:graphic>
          </wp:inline>
        </w:drawing>
      </w:r>
    </w:p>
    <w:p w:rsidR="00AD330F" w:rsidRDefault="00AD330F" w:rsidP="00617420">
      <w:pPr>
        <w:pStyle w:val="Body"/>
        <w:rPr>
          <w:rFonts w:ascii="Arial" w:hAnsi="Arial" w:cs="Arial"/>
        </w:rPr>
      </w:pPr>
    </w:p>
    <w:p w:rsidR="00AD330F" w:rsidRDefault="00AD330F" w:rsidP="00617420">
      <w:pPr>
        <w:pStyle w:val="Body"/>
        <w:rPr>
          <w:rFonts w:ascii="Arial" w:hAnsi="Arial" w:cs="Arial"/>
        </w:rPr>
      </w:pPr>
    </w:p>
    <w:p w:rsidR="00AD330F" w:rsidRDefault="00AD330F" w:rsidP="00617420">
      <w:pPr>
        <w:pStyle w:val="Body"/>
        <w:rPr>
          <w:rFonts w:ascii="Arial" w:hAnsi="Arial" w:cs="Arial"/>
        </w:rPr>
      </w:pPr>
    </w:p>
    <w:p w:rsidR="006D4AF3" w:rsidRDefault="00392F66">
      <w:pPr>
        <w:spacing w:line="240" w:lineRule="auto"/>
        <w:rPr>
          <w:rFonts w:ascii="Arial" w:hAnsi="Arial" w:cs="Arial"/>
          <w:b/>
          <w:u w:val="single"/>
        </w:rPr>
      </w:pPr>
      <w:r w:rsidRPr="00392F66">
        <w:rPr>
          <w:rFonts w:ascii="Arial" w:hAnsi="Arial" w:cs="Arial"/>
          <w:b/>
          <w:u w:val="single"/>
        </w:rPr>
        <w:t>Option 1-Three band structure:</w:t>
      </w:r>
    </w:p>
    <w:p w:rsidR="00617420" w:rsidRDefault="00617420" w:rsidP="00617420">
      <w:pPr>
        <w:pStyle w:val="Body"/>
        <w:rPr>
          <w:rFonts w:ascii="Arial" w:hAnsi="Arial" w:cs="Arial"/>
        </w:rPr>
      </w:pPr>
      <w:r>
        <w:rPr>
          <w:rFonts w:ascii="Arial" w:hAnsi="Arial" w:cs="Arial"/>
        </w:rPr>
        <w:t xml:space="preserve"> </w:t>
      </w:r>
      <w:r w:rsidRPr="009E0201">
        <w:rPr>
          <w:rFonts w:ascii="Arial" w:hAnsi="Arial" w:cs="Arial"/>
        </w:rPr>
        <w:t xml:space="preserve"> </w:t>
      </w:r>
      <w:r w:rsidR="003B660A" w:rsidRPr="003B660A">
        <w:rPr>
          <w:rFonts w:ascii="Arial" w:hAnsi="Arial" w:cs="Arial"/>
          <w:noProof/>
        </w:rPr>
        <w:drawing>
          <wp:inline distT="0" distB="0" distL="0" distR="0">
            <wp:extent cx="4930775" cy="4754563"/>
            <wp:effectExtent l="19050" t="19050" r="22225" b="26987"/>
            <wp:docPr id="3" name="Picture 2"/>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3" cstate="print"/>
                    <a:srcRect/>
                    <a:stretch>
                      <a:fillRect/>
                    </a:stretch>
                  </pic:blipFill>
                  <pic:spPr bwMode="auto">
                    <a:xfrm>
                      <a:off x="0" y="0"/>
                      <a:ext cx="4930775" cy="4754563"/>
                    </a:xfrm>
                    <a:prstGeom prst="rect">
                      <a:avLst/>
                    </a:prstGeom>
                    <a:noFill/>
                    <a:ln w="9525">
                      <a:solidFill>
                        <a:schemeClr val="tx1"/>
                      </a:solidFill>
                      <a:miter lim="800000"/>
                      <a:headEnd/>
                      <a:tailEnd/>
                    </a:ln>
                    <a:effectLst/>
                  </pic:spPr>
                </pic:pic>
              </a:graphicData>
            </a:graphic>
          </wp:inline>
        </w:drawing>
      </w:r>
      <w:r w:rsidR="00CE50B6">
        <w:rPr>
          <w:rFonts w:ascii="Arial" w:hAnsi="Arial" w:cs="Arial"/>
        </w:rPr>
        <w:t xml:space="preserve">: </w:t>
      </w:r>
    </w:p>
    <w:p w:rsidR="00275788" w:rsidRDefault="00275788" w:rsidP="00617420">
      <w:pPr>
        <w:pStyle w:val="Body"/>
        <w:rPr>
          <w:rFonts w:ascii="Arial" w:hAnsi="Arial" w:cs="Arial"/>
        </w:rPr>
      </w:pPr>
      <w:r>
        <w:rPr>
          <w:rFonts w:ascii="Arial" w:hAnsi="Arial" w:cs="Arial"/>
        </w:rPr>
        <w:t>Cost to fund increased Board contributions $187,000.</w:t>
      </w:r>
    </w:p>
    <w:p w:rsidR="00CA12C6" w:rsidRDefault="00CA12C6">
      <w:pPr>
        <w:spacing w:line="240" w:lineRule="auto"/>
        <w:rPr>
          <w:rFonts w:ascii="Arial" w:hAnsi="Arial" w:cs="Arial"/>
          <w:b/>
          <w:u w:val="single"/>
        </w:rPr>
      </w:pPr>
    </w:p>
    <w:p w:rsidR="00CA12C6" w:rsidRDefault="00CA12C6">
      <w:pPr>
        <w:spacing w:line="240" w:lineRule="auto"/>
        <w:rPr>
          <w:rFonts w:ascii="Arial" w:hAnsi="Arial" w:cs="Arial"/>
          <w:b/>
          <w:u w:val="single"/>
        </w:rPr>
      </w:pPr>
      <w:r>
        <w:rPr>
          <w:rFonts w:ascii="Arial" w:hAnsi="Arial" w:cs="Arial"/>
          <w:b/>
          <w:u w:val="single"/>
        </w:rPr>
        <w:br/>
      </w:r>
    </w:p>
    <w:p w:rsidR="00CA12C6" w:rsidRDefault="00CA12C6">
      <w:pPr>
        <w:spacing w:after="0" w:line="240" w:lineRule="auto"/>
        <w:rPr>
          <w:rFonts w:ascii="Arial" w:hAnsi="Arial" w:cs="Arial"/>
          <w:b/>
          <w:u w:val="single"/>
        </w:rPr>
      </w:pPr>
      <w:r>
        <w:rPr>
          <w:rFonts w:ascii="Arial" w:hAnsi="Arial" w:cs="Arial"/>
          <w:b/>
          <w:u w:val="single"/>
        </w:rPr>
        <w:br w:type="page"/>
      </w:r>
    </w:p>
    <w:p w:rsidR="006D4AF3" w:rsidRDefault="00392F66">
      <w:pPr>
        <w:spacing w:line="240" w:lineRule="auto"/>
        <w:rPr>
          <w:rFonts w:ascii="Arial" w:hAnsi="Arial" w:cs="Arial"/>
          <w:b/>
          <w:u w:val="single"/>
        </w:rPr>
      </w:pPr>
      <w:r w:rsidRPr="00392F66">
        <w:rPr>
          <w:rFonts w:ascii="Arial" w:hAnsi="Arial" w:cs="Arial"/>
          <w:b/>
          <w:u w:val="single"/>
        </w:rPr>
        <w:t>Option 2- Four band structure:</w:t>
      </w:r>
    </w:p>
    <w:p w:rsidR="00275788" w:rsidRDefault="00406888" w:rsidP="00617420">
      <w:pPr>
        <w:pStyle w:val="Body"/>
        <w:rPr>
          <w:rFonts w:ascii="Arial" w:hAnsi="Arial" w:cs="Arial"/>
        </w:rPr>
      </w:pPr>
      <w:r w:rsidRPr="00406888">
        <w:rPr>
          <w:rFonts w:ascii="Arial" w:hAnsi="Arial" w:cs="Arial"/>
          <w:noProof/>
        </w:rPr>
        <w:drawing>
          <wp:inline distT="0" distB="0" distL="0" distR="0">
            <wp:extent cx="5937250" cy="7416800"/>
            <wp:effectExtent l="19050" t="0" r="635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37250" cy="7416800"/>
                    </a:xfrm>
                    <a:prstGeom prst="rect">
                      <a:avLst/>
                    </a:prstGeom>
                    <a:noFill/>
                    <a:ln w="9525">
                      <a:noFill/>
                      <a:miter lim="800000"/>
                      <a:headEnd/>
                      <a:tailEnd/>
                    </a:ln>
                  </pic:spPr>
                </pic:pic>
              </a:graphicData>
            </a:graphic>
          </wp:inline>
        </w:drawing>
      </w:r>
    </w:p>
    <w:p w:rsidR="00AD0969" w:rsidRDefault="00275788" w:rsidP="00AD0969">
      <w:pPr>
        <w:pStyle w:val="Body"/>
        <w:rPr>
          <w:rFonts w:ascii="Arial" w:hAnsi="Arial" w:cs="Arial"/>
        </w:rPr>
      </w:pPr>
      <w:r>
        <w:rPr>
          <w:rFonts w:ascii="Arial" w:hAnsi="Arial" w:cs="Arial"/>
          <w:noProof/>
        </w:rPr>
        <w:drawing>
          <wp:inline distT="0" distB="0" distL="0" distR="0">
            <wp:extent cx="38100" cy="9525"/>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38100" cy="9525"/>
                    </a:xfrm>
                    <a:prstGeom prst="rect">
                      <a:avLst/>
                    </a:prstGeom>
                    <a:noFill/>
                    <a:ln w="9525">
                      <a:noFill/>
                      <a:miter lim="800000"/>
                      <a:headEnd/>
                      <a:tailEnd/>
                    </a:ln>
                  </pic:spPr>
                </pic:pic>
              </a:graphicData>
            </a:graphic>
          </wp:inline>
        </w:drawing>
      </w:r>
      <w:r w:rsidR="00AD0969" w:rsidRPr="00AD0969">
        <w:rPr>
          <w:rFonts w:ascii="Arial" w:hAnsi="Arial" w:cs="Arial"/>
        </w:rPr>
        <w:t xml:space="preserve"> </w:t>
      </w:r>
      <w:r w:rsidR="00AD0969">
        <w:rPr>
          <w:rFonts w:ascii="Arial" w:hAnsi="Arial" w:cs="Arial"/>
        </w:rPr>
        <w:t>Cost to fund increased Board contributions $132,600.</w:t>
      </w:r>
    </w:p>
    <w:p w:rsidR="00CA12C6" w:rsidRDefault="00CA12C6">
      <w:pPr>
        <w:spacing w:after="0" w:line="240" w:lineRule="auto"/>
        <w:rPr>
          <w:rFonts w:ascii="Arial" w:hAnsi="Arial" w:cs="Arial"/>
          <w:b/>
          <w:u w:val="single"/>
        </w:rPr>
      </w:pPr>
      <w:r>
        <w:rPr>
          <w:rFonts w:ascii="Arial" w:hAnsi="Arial" w:cs="Arial"/>
          <w:b/>
          <w:u w:val="single"/>
        </w:rPr>
        <w:br w:type="page"/>
      </w:r>
    </w:p>
    <w:p w:rsidR="006D4AF3" w:rsidRDefault="00392F66">
      <w:pPr>
        <w:spacing w:line="240" w:lineRule="auto"/>
        <w:jc w:val="both"/>
        <w:rPr>
          <w:rFonts w:ascii="Arial" w:hAnsi="Arial" w:cs="Arial"/>
        </w:rPr>
      </w:pPr>
      <w:r w:rsidRPr="00392F66">
        <w:rPr>
          <w:rFonts w:ascii="Arial" w:hAnsi="Arial" w:cs="Arial"/>
          <w:b/>
          <w:u w:val="single"/>
        </w:rPr>
        <w:t>Spousal eligibility</w:t>
      </w:r>
      <w:r w:rsidR="00455C6E">
        <w:rPr>
          <w:rFonts w:ascii="Arial" w:hAnsi="Arial" w:cs="Arial"/>
          <w:b/>
          <w:u w:val="single"/>
        </w:rPr>
        <w:t>:</w:t>
      </w:r>
      <w:r w:rsidR="00617420" w:rsidRPr="009E0201">
        <w:rPr>
          <w:rFonts w:ascii="Arial" w:hAnsi="Arial" w:cs="Arial"/>
        </w:rPr>
        <w:t xml:space="preserve">  Many employers are evaluating </w:t>
      </w:r>
      <w:r w:rsidR="002E16A3">
        <w:rPr>
          <w:rFonts w:ascii="Arial" w:hAnsi="Arial" w:cs="Arial"/>
        </w:rPr>
        <w:t xml:space="preserve">spousal </w:t>
      </w:r>
      <w:r w:rsidR="00617420" w:rsidRPr="009E0201">
        <w:rPr>
          <w:rFonts w:ascii="Arial" w:hAnsi="Arial" w:cs="Arial"/>
        </w:rPr>
        <w:t xml:space="preserve">eligibility as a means to minimize cost increases to premiums and to minimize the new fees that went into effect as part of the ACA. This year, that fee is $65 per member (not </w:t>
      </w:r>
      <w:r w:rsidR="00822D81">
        <w:rPr>
          <w:rFonts w:ascii="Arial" w:hAnsi="Arial" w:cs="Arial"/>
        </w:rPr>
        <w:t xml:space="preserve">per </w:t>
      </w:r>
      <w:r w:rsidR="00617420" w:rsidRPr="009E0201">
        <w:rPr>
          <w:rFonts w:ascii="Arial" w:hAnsi="Arial" w:cs="Arial"/>
        </w:rPr>
        <w:t xml:space="preserve">employee) on the health plan.  In the County’s adopted market, many localities and school divisions are considering </w:t>
      </w:r>
      <w:r w:rsidR="002E16A3">
        <w:rPr>
          <w:rFonts w:ascii="Arial" w:hAnsi="Arial" w:cs="Arial"/>
        </w:rPr>
        <w:t>removing spousal coverage</w:t>
      </w:r>
      <w:r w:rsidR="00F5644A">
        <w:rPr>
          <w:rFonts w:ascii="Arial" w:hAnsi="Arial" w:cs="Arial"/>
        </w:rPr>
        <w:t xml:space="preserve"> (if the spouse has access to affordable coverage through their own employers)</w:t>
      </w:r>
      <w:r w:rsidR="00617420" w:rsidRPr="009E0201">
        <w:rPr>
          <w:rFonts w:ascii="Arial" w:hAnsi="Arial" w:cs="Arial"/>
        </w:rPr>
        <w:t>, but few have made a decision to limit eligibility thus far. The HCEC also reviewed claims data, which in</w:t>
      </w:r>
      <w:r w:rsidR="00617420">
        <w:rPr>
          <w:rFonts w:ascii="Arial" w:hAnsi="Arial" w:cs="Arial"/>
        </w:rPr>
        <w:t xml:space="preserve">dicated </w:t>
      </w:r>
      <w:r w:rsidR="00617420" w:rsidRPr="009E0201">
        <w:rPr>
          <w:rFonts w:ascii="Arial" w:hAnsi="Arial" w:cs="Arial"/>
        </w:rPr>
        <w:t>that spouses have 20% higher claims than employees. Options reviewed include:</w:t>
      </w:r>
    </w:p>
    <w:p w:rsidR="00617420" w:rsidRPr="009E0201" w:rsidRDefault="00617420" w:rsidP="00617420">
      <w:pPr>
        <w:pStyle w:val="Body"/>
        <w:widowControl w:val="0"/>
        <w:numPr>
          <w:ilvl w:val="0"/>
          <w:numId w:val="11"/>
        </w:numPr>
        <w:spacing w:after="0" w:line="240" w:lineRule="auto"/>
        <w:rPr>
          <w:rFonts w:ascii="Arial" w:hAnsi="Arial" w:cs="Arial"/>
        </w:rPr>
      </w:pPr>
      <w:r w:rsidRPr="009E0201">
        <w:rPr>
          <w:rFonts w:ascii="Arial" w:hAnsi="Arial" w:cs="Arial"/>
        </w:rPr>
        <w:t>Surcharge for spouses if they have coverage elsewhere. Due to the administrative inefficiencies, HCEC did not support this option</w:t>
      </w:r>
    </w:p>
    <w:p w:rsidR="00617420" w:rsidRPr="009E0201" w:rsidRDefault="00617420" w:rsidP="00617420">
      <w:pPr>
        <w:pStyle w:val="Body"/>
        <w:widowControl w:val="0"/>
        <w:numPr>
          <w:ilvl w:val="0"/>
          <w:numId w:val="11"/>
        </w:numPr>
        <w:spacing w:after="0" w:line="240" w:lineRule="auto"/>
        <w:rPr>
          <w:rFonts w:ascii="Arial" w:hAnsi="Arial" w:cs="Arial"/>
        </w:rPr>
      </w:pPr>
      <w:r w:rsidRPr="009E0201">
        <w:rPr>
          <w:rFonts w:ascii="Arial" w:hAnsi="Arial" w:cs="Arial"/>
        </w:rPr>
        <w:t>Spouses would be ineligible for coverage i</w:t>
      </w:r>
      <w:r w:rsidR="00CA734A">
        <w:rPr>
          <w:rFonts w:ascii="Arial" w:hAnsi="Arial" w:cs="Arial"/>
        </w:rPr>
        <w:t>f they have coverage elsewhere</w:t>
      </w:r>
      <w:r w:rsidR="002E16A3">
        <w:rPr>
          <w:rFonts w:ascii="Arial" w:hAnsi="Arial" w:cs="Arial"/>
        </w:rPr>
        <w:t>.</w:t>
      </w:r>
      <w:r w:rsidR="00CA734A">
        <w:rPr>
          <w:rFonts w:ascii="Arial" w:hAnsi="Arial" w:cs="Arial"/>
        </w:rPr>
        <w:t xml:space="preserve"> </w:t>
      </w:r>
      <w:r w:rsidRPr="009E0201">
        <w:rPr>
          <w:rFonts w:ascii="Arial" w:hAnsi="Arial" w:cs="Arial"/>
        </w:rPr>
        <w:t>KSPH estimates 25% of currently enrolled spouses would be ineligible</w:t>
      </w:r>
      <w:r w:rsidR="00CA734A">
        <w:rPr>
          <w:rFonts w:ascii="Arial" w:hAnsi="Arial" w:cs="Arial"/>
        </w:rPr>
        <w:t>, with</w:t>
      </w:r>
      <w:r w:rsidRPr="009E0201">
        <w:rPr>
          <w:rFonts w:ascii="Arial" w:hAnsi="Arial" w:cs="Arial"/>
        </w:rPr>
        <w:t xml:space="preserve"> a cost savings of $1,721,000 for 2015</w:t>
      </w:r>
    </w:p>
    <w:p w:rsidR="00617420" w:rsidRDefault="00617420" w:rsidP="00617420">
      <w:pPr>
        <w:pStyle w:val="Body"/>
        <w:widowControl w:val="0"/>
        <w:numPr>
          <w:ilvl w:val="0"/>
          <w:numId w:val="11"/>
        </w:numPr>
        <w:spacing w:after="0" w:line="240" w:lineRule="auto"/>
        <w:rPr>
          <w:rFonts w:ascii="Arial" w:hAnsi="Arial" w:cs="Arial"/>
        </w:rPr>
      </w:pPr>
      <w:r w:rsidRPr="009E0201">
        <w:rPr>
          <w:rFonts w:ascii="Arial" w:hAnsi="Arial" w:cs="Arial"/>
        </w:rPr>
        <w:t xml:space="preserve">Continue allowing spouses to be eligible for coverage </w:t>
      </w:r>
    </w:p>
    <w:p w:rsidR="00617420" w:rsidRDefault="00617420" w:rsidP="000E0AD7">
      <w:pPr>
        <w:pStyle w:val="Body"/>
        <w:widowControl w:val="0"/>
        <w:spacing w:after="0" w:line="240" w:lineRule="auto"/>
        <w:rPr>
          <w:rFonts w:ascii="Arial" w:hAnsi="Arial" w:cs="Arial"/>
        </w:rPr>
      </w:pPr>
    </w:p>
    <w:p w:rsidR="000E0AD7" w:rsidRPr="000E0AD7" w:rsidRDefault="000E0AD7" w:rsidP="000E0AD7">
      <w:pPr>
        <w:pStyle w:val="Body"/>
        <w:widowControl w:val="0"/>
        <w:spacing w:after="0" w:line="240" w:lineRule="auto"/>
        <w:rPr>
          <w:rFonts w:ascii="Arial" w:hAnsi="Arial" w:cs="Arial"/>
          <w:u w:val="single"/>
        </w:rPr>
      </w:pPr>
    </w:p>
    <w:p w:rsidR="006D4AF3" w:rsidRDefault="00392F66">
      <w:pPr>
        <w:spacing w:line="240" w:lineRule="auto"/>
        <w:jc w:val="both"/>
        <w:rPr>
          <w:rFonts w:ascii="Arial" w:hAnsi="Arial" w:cs="Arial"/>
          <w:b/>
          <w:u w:val="single"/>
        </w:rPr>
      </w:pPr>
      <w:r w:rsidRPr="00392F66">
        <w:rPr>
          <w:rFonts w:ascii="Arial" w:hAnsi="Arial" w:cs="Arial"/>
          <w:b/>
          <w:u w:val="single"/>
        </w:rPr>
        <w:t>Plan Design/Market Competitiveness</w:t>
      </w:r>
    </w:p>
    <w:p w:rsidR="006D4AF3" w:rsidRDefault="001120B0">
      <w:pPr>
        <w:pStyle w:val="BodyText3"/>
        <w:jc w:val="both"/>
        <w:rPr>
          <w:rFonts w:ascii="Arial" w:hAnsi="Arial" w:cs="Arial"/>
          <w:sz w:val="22"/>
          <w:szCs w:val="22"/>
        </w:rPr>
      </w:pPr>
      <w:r w:rsidRPr="009F518B">
        <w:rPr>
          <w:rFonts w:ascii="Arial" w:hAnsi="Arial" w:cs="Arial"/>
          <w:sz w:val="22"/>
          <w:szCs w:val="22"/>
        </w:rPr>
        <w:t xml:space="preserve">Offering a competitive medical plan that balances the benefit design against the cost to fund the program is a major consideration each year. </w:t>
      </w:r>
      <w:r w:rsidR="00326BBC">
        <w:rPr>
          <w:rFonts w:ascii="Arial" w:hAnsi="Arial" w:cs="Arial"/>
          <w:sz w:val="22"/>
          <w:szCs w:val="22"/>
        </w:rPr>
        <w:t>B</w:t>
      </w:r>
      <w:r w:rsidRPr="009F518B">
        <w:rPr>
          <w:rFonts w:ascii="Arial" w:hAnsi="Arial" w:cs="Arial"/>
          <w:sz w:val="22"/>
          <w:szCs w:val="22"/>
        </w:rPr>
        <w:t>enchmark data, while not an exclusive comparison with our adopted market</w:t>
      </w:r>
      <w:r>
        <w:rPr>
          <w:rFonts w:ascii="Arial" w:hAnsi="Arial" w:cs="Arial"/>
          <w:sz w:val="22"/>
          <w:szCs w:val="22"/>
        </w:rPr>
        <w:t xml:space="preserve"> is used by the HCEC is developing recommendations consistent with our strategy.</w:t>
      </w:r>
    </w:p>
    <w:p w:rsidR="006D4AF3" w:rsidRDefault="006D4AF3">
      <w:pPr>
        <w:pStyle w:val="BodyText3"/>
        <w:jc w:val="both"/>
        <w:rPr>
          <w:rFonts w:ascii="Arial" w:hAnsi="Arial" w:cs="Arial"/>
          <w:sz w:val="22"/>
          <w:szCs w:val="22"/>
        </w:rPr>
      </w:pPr>
    </w:p>
    <w:p w:rsidR="006D4AF3" w:rsidRDefault="00392F66">
      <w:pPr>
        <w:spacing w:line="240" w:lineRule="auto"/>
        <w:jc w:val="both"/>
        <w:rPr>
          <w:rFonts w:ascii="Arial" w:hAnsi="Arial" w:cs="Arial"/>
          <w:b/>
          <w:u w:val="single"/>
        </w:rPr>
      </w:pPr>
      <w:r w:rsidRPr="00392F66">
        <w:rPr>
          <w:rFonts w:ascii="Arial" w:hAnsi="Arial" w:cs="Arial"/>
          <w:b/>
          <w:u w:val="single"/>
        </w:rPr>
        <w:t xml:space="preserve">Proposed Plan Changes </w:t>
      </w:r>
    </w:p>
    <w:p w:rsidR="00852E49" w:rsidRPr="00D74192" w:rsidRDefault="00852E49" w:rsidP="00852E49">
      <w:pPr>
        <w:spacing w:after="0" w:line="240" w:lineRule="auto"/>
        <w:rPr>
          <w:rFonts w:ascii="Arial" w:eastAsia="Times New Roman" w:hAnsi="Arial" w:cs="Arial"/>
        </w:rPr>
      </w:pPr>
      <w:r w:rsidRPr="00D74192">
        <w:rPr>
          <w:rFonts w:ascii="Arial" w:hAnsi="Arial" w:cs="Arial"/>
        </w:rPr>
        <w:t>Plus plan:</w:t>
      </w:r>
      <w:r w:rsidRPr="00D74192">
        <w:rPr>
          <w:rFonts w:ascii="Arial" w:hAnsi="Arial" w:cs="Arial"/>
        </w:rPr>
        <w:tab/>
      </w:r>
      <w:r w:rsidRPr="00D74192">
        <w:rPr>
          <w:rFonts w:ascii="Arial" w:eastAsia="Times New Roman" w:hAnsi="Arial" w:cs="Arial"/>
        </w:rPr>
        <w:t>Deductible from $250 indiv/$500 family to $500/$1000</w:t>
      </w:r>
    </w:p>
    <w:p w:rsidR="00852E49" w:rsidRPr="00D74192" w:rsidRDefault="00852E49" w:rsidP="00852E49">
      <w:pPr>
        <w:spacing w:after="0" w:line="240" w:lineRule="auto"/>
        <w:rPr>
          <w:rFonts w:ascii="Arial" w:eastAsia="Times New Roman" w:hAnsi="Arial" w:cs="Arial"/>
        </w:rPr>
      </w:pPr>
      <w:r w:rsidRPr="00D74192">
        <w:rPr>
          <w:rFonts w:ascii="Arial" w:eastAsia="Times New Roman" w:hAnsi="Arial" w:cs="Arial"/>
        </w:rPr>
        <w:tab/>
      </w:r>
      <w:r w:rsidRPr="00D74192">
        <w:rPr>
          <w:rFonts w:ascii="Arial" w:eastAsia="Times New Roman" w:hAnsi="Arial" w:cs="Arial"/>
        </w:rPr>
        <w:tab/>
        <w:t>Provider co-pay from $15 PCP/$30; Specialist to $20/$40</w:t>
      </w:r>
    </w:p>
    <w:p w:rsidR="00852E49" w:rsidRPr="00D74192" w:rsidRDefault="00852E49" w:rsidP="00852E49">
      <w:pPr>
        <w:spacing w:after="0" w:line="240" w:lineRule="auto"/>
        <w:rPr>
          <w:rFonts w:ascii="Arial" w:eastAsia="Times New Roman" w:hAnsi="Arial" w:cs="Arial"/>
        </w:rPr>
      </w:pPr>
      <w:r w:rsidRPr="00D74192">
        <w:rPr>
          <w:rFonts w:ascii="Arial" w:eastAsia="Times New Roman" w:hAnsi="Arial" w:cs="Arial"/>
        </w:rPr>
        <w:tab/>
      </w:r>
      <w:r w:rsidRPr="00D74192">
        <w:rPr>
          <w:rFonts w:ascii="Arial" w:eastAsia="Times New Roman" w:hAnsi="Arial" w:cs="Arial"/>
        </w:rPr>
        <w:tab/>
        <w:t>ER co-pay from $200 to subject to deductible/$10% co-insurance after</w:t>
      </w:r>
    </w:p>
    <w:p w:rsidR="00852E49" w:rsidRPr="00D74192" w:rsidRDefault="00852E49" w:rsidP="00852E49">
      <w:pPr>
        <w:spacing w:after="0" w:line="240" w:lineRule="auto"/>
        <w:rPr>
          <w:rFonts w:ascii="Arial" w:eastAsia="Times New Roman" w:hAnsi="Arial" w:cs="Arial"/>
        </w:rPr>
      </w:pPr>
      <w:r w:rsidRPr="00D74192">
        <w:rPr>
          <w:rFonts w:ascii="Arial" w:eastAsia="Times New Roman" w:hAnsi="Arial" w:cs="Arial"/>
        </w:rPr>
        <w:tab/>
      </w:r>
      <w:r w:rsidRPr="00D74192">
        <w:rPr>
          <w:rFonts w:ascii="Arial" w:eastAsia="Times New Roman" w:hAnsi="Arial" w:cs="Arial"/>
        </w:rPr>
        <w:tab/>
        <w:t>Rx co-pay from $7/$30/$50 to $10/$40/$60</w:t>
      </w:r>
      <w:r w:rsidRPr="00D74192">
        <w:rPr>
          <w:rFonts w:ascii="Arial" w:eastAsia="Times New Roman" w:hAnsi="Arial" w:cs="Arial"/>
        </w:rPr>
        <w:tab/>
      </w:r>
    </w:p>
    <w:p w:rsidR="00852E49" w:rsidRDefault="00852E49" w:rsidP="00852E49">
      <w:pPr>
        <w:spacing w:after="0"/>
        <w:rPr>
          <w:rFonts w:ascii="Arial" w:hAnsi="Arial" w:cs="Arial"/>
        </w:rPr>
      </w:pPr>
    </w:p>
    <w:p w:rsidR="00852E49" w:rsidRPr="00D74192" w:rsidRDefault="00852E49" w:rsidP="00852E49">
      <w:pPr>
        <w:spacing w:after="0" w:line="240" w:lineRule="auto"/>
        <w:rPr>
          <w:rFonts w:ascii="Arial" w:eastAsia="Times New Roman" w:hAnsi="Arial" w:cs="Arial"/>
        </w:rPr>
      </w:pPr>
      <w:r>
        <w:rPr>
          <w:rFonts w:ascii="Arial" w:hAnsi="Arial" w:cs="Arial"/>
        </w:rPr>
        <w:t>Basic Plan:</w:t>
      </w:r>
      <w:r>
        <w:rPr>
          <w:rFonts w:ascii="Arial" w:hAnsi="Arial" w:cs="Arial"/>
        </w:rPr>
        <w:tab/>
      </w:r>
      <w:r w:rsidRPr="00D74192">
        <w:rPr>
          <w:rFonts w:ascii="Arial" w:eastAsia="Times New Roman" w:hAnsi="Arial" w:cs="Arial"/>
        </w:rPr>
        <w:t>Deductible from $250 indiv/$500 family to $500/$1000</w:t>
      </w:r>
    </w:p>
    <w:p w:rsidR="00852E49" w:rsidRPr="00D74192" w:rsidRDefault="00852E49" w:rsidP="00852E49">
      <w:pPr>
        <w:spacing w:after="0" w:line="240" w:lineRule="auto"/>
        <w:rPr>
          <w:rFonts w:ascii="Arial" w:eastAsia="Times New Roman" w:hAnsi="Arial" w:cs="Arial"/>
        </w:rPr>
      </w:pPr>
      <w:r w:rsidRPr="00D74192">
        <w:rPr>
          <w:rFonts w:ascii="Arial" w:eastAsia="Times New Roman" w:hAnsi="Arial" w:cs="Arial"/>
        </w:rPr>
        <w:tab/>
      </w:r>
      <w:r w:rsidRPr="00D74192">
        <w:rPr>
          <w:rFonts w:ascii="Arial" w:eastAsia="Times New Roman" w:hAnsi="Arial" w:cs="Arial"/>
        </w:rPr>
        <w:tab/>
        <w:t>Provider co-pay from $25 PCP/$40; Specialist to $30/$50</w:t>
      </w:r>
    </w:p>
    <w:p w:rsidR="00852E49" w:rsidRDefault="00852E49" w:rsidP="00852E49">
      <w:pPr>
        <w:spacing w:after="0" w:line="240" w:lineRule="auto"/>
        <w:rPr>
          <w:rFonts w:ascii="Arial" w:eastAsia="Times New Roman" w:hAnsi="Arial" w:cs="Arial"/>
        </w:rPr>
      </w:pPr>
      <w:r w:rsidRPr="00D74192">
        <w:rPr>
          <w:rFonts w:ascii="Arial" w:eastAsia="Times New Roman" w:hAnsi="Arial" w:cs="Arial"/>
        </w:rPr>
        <w:tab/>
      </w:r>
      <w:r w:rsidRPr="00D74192">
        <w:rPr>
          <w:rFonts w:ascii="Arial" w:eastAsia="Times New Roman" w:hAnsi="Arial" w:cs="Arial"/>
        </w:rPr>
        <w:tab/>
        <w:t>Rx co-pay from $7/$35/$60 to $10/$45/$75</w:t>
      </w: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852E49" w:rsidRDefault="00852E49" w:rsidP="00852E49">
      <w:pPr>
        <w:spacing w:after="0" w:line="240" w:lineRule="auto"/>
        <w:rPr>
          <w:rFonts w:ascii="Arial" w:eastAsia="Times New Roman" w:hAnsi="Arial" w:cs="Arial"/>
        </w:rPr>
      </w:pPr>
    </w:p>
    <w:p w:rsidR="00CA12C6" w:rsidRDefault="00CA12C6">
      <w:pPr>
        <w:spacing w:after="0" w:line="240" w:lineRule="auto"/>
        <w:rPr>
          <w:rFonts w:ascii="Arial" w:hAnsi="Arial" w:cs="Arial"/>
          <w:b/>
          <w:u w:val="single"/>
        </w:rPr>
      </w:pPr>
      <w:r>
        <w:rPr>
          <w:rFonts w:ascii="Arial" w:hAnsi="Arial" w:cs="Arial"/>
          <w:b/>
          <w:u w:val="single"/>
        </w:rPr>
        <w:br w:type="page"/>
      </w:r>
    </w:p>
    <w:p w:rsidR="006D4AF3" w:rsidRDefault="00392F66">
      <w:pPr>
        <w:rPr>
          <w:rFonts w:ascii="Arial" w:hAnsi="Arial" w:cs="Arial"/>
          <w:highlight w:val="yellow"/>
        </w:rPr>
      </w:pPr>
      <w:r w:rsidRPr="00392F66">
        <w:rPr>
          <w:rFonts w:ascii="Arial" w:hAnsi="Arial" w:cs="Arial"/>
          <w:b/>
          <w:u w:val="single"/>
        </w:rPr>
        <w:t>Market Survey Data:</w:t>
      </w:r>
      <w:r w:rsidRPr="00392F66">
        <w:rPr>
          <w:rFonts w:ascii="Arial" w:hAnsi="Arial" w:cs="Arial"/>
          <w:u w:val="single"/>
        </w:rPr>
        <w:t xml:space="preserve"> </w:t>
      </w:r>
    </w:p>
    <w:tbl>
      <w:tblPr>
        <w:tblW w:w="10254" w:type="dxa"/>
        <w:tblInd w:w="88" w:type="dxa"/>
        <w:tblLook w:val="04A0"/>
      </w:tblPr>
      <w:tblGrid>
        <w:gridCol w:w="1421"/>
        <w:gridCol w:w="1757"/>
        <w:gridCol w:w="1238"/>
        <w:gridCol w:w="527"/>
        <w:gridCol w:w="2462"/>
        <w:gridCol w:w="763"/>
        <w:gridCol w:w="1173"/>
        <w:gridCol w:w="507"/>
        <w:gridCol w:w="580"/>
      </w:tblGrid>
      <w:tr w:rsidR="001074AA" w:rsidRPr="00F1263A" w:rsidTr="001074AA">
        <w:trPr>
          <w:trHeight w:val="318"/>
        </w:trPr>
        <w:tc>
          <w:tcPr>
            <w:tcW w:w="1421" w:type="dxa"/>
            <w:tcBorders>
              <w:top w:val="nil"/>
              <w:left w:val="nil"/>
              <w:bottom w:val="nil"/>
              <w:right w:val="nil"/>
            </w:tcBorders>
            <w:shd w:val="clear" w:color="auto" w:fill="auto"/>
            <w:vAlign w:val="bottom"/>
            <w:hideMark/>
          </w:tcPr>
          <w:p w:rsidR="00852E49" w:rsidRPr="00F1263A" w:rsidRDefault="00852E49" w:rsidP="00D7463F">
            <w:pPr>
              <w:spacing w:after="0" w:line="240" w:lineRule="auto"/>
              <w:rPr>
                <w:rFonts w:eastAsia="Times New Roman" w:cs="Calibri"/>
                <w:color w:val="000000"/>
                <w:sz w:val="16"/>
                <w:szCs w:val="16"/>
              </w:rPr>
            </w:pPr>
          </w:p>
        </w:tc>
        <w:tc>
          <w:tcPr>
            <w:tcW w:w="1583" w:type="dxa"/>
            <w:tcBorders>
              <w:top w:val="nil"/>
              <w:left w:val="nil"/>
              <w:bottom w:val="nil"/>
              <w:right w:val="nil"/>
            </w:tcBorders>
            <w:shd w:val="clear" w:color="auto" w:fill="auto"/>
            <w:noWrap/>
            <w:vAlign w:val="bottom"/>
            <w:hideMark/>
          </w:tcPr>
          <w:p w:rsidR="00852E49" w:rsidRPr="00F1263A" w:rsidRDefault="00852E49" w:rsidP="00D7463F">
            <w:pPr>
              <w:spacing w:after="0" w:line="240" w:lineRule="auto"/>
              <w:rPr>
                <w:rFonts w:eastAsia="Times New Roman" w:cs="Calibri"/>
                <w:color w:val="000000"/>
                <w:sz w:val="16"/>
                <w:szCs w:val="16"/>
              </w:rPr>
            </w:pPr>
          </w:p>
        </w:tc>
        <w:tc>
          <w:tcPr>
            <w:tcW w:w="1238" w:type="dxa"/>
            <w:tcBorders>
              <w:top w:val="nil"/>
              <w:left w:val="nil"/>
              <w:bottom w:val="nil"/>
              <w:right w:val="nil"/>
            </w:tcBorders>
            <w:shd w:val="clear" w:color="auto" w:fill="auto"/>
            <w:noWrap/>
            <w:vAlign w:val="bottom"/>
            <w:hideMark/>
          </w:tcPr>
          <w:p w:rsidR="00852E49" w:rsidRPr="00F1263A" w:rsidRDefault="00852E49" w:rsidP="00D7463F">
            <w:pPr>
              <w:spacing w:after="0" w:line="240" w:lineRule="auto"/>
              <w:rPr>
                <w:rFonts w:eastAsia="Times New Roman" w:cs="Calibri"/>
                <w:color w:val="000000"/>
                <w:sz w:val="16"/>
                <w:szCs w:val="16"/>
              </w:rPr>
            </w:pPr>
          </w:p>
        </w:tc>
        <w:tc>
          <w:tcPr>
            <w:tcW w:w="527" w:type="dxa"/>
            <w:tcBorders>
              <w:top w:val="nil"/>
              <w:left w:val="nil"/>
              <w:bottom w:val="nil"/>
              <w:right w:val="nil"/>
            </w:tcBorders>
            <w:shd w:val="clear" w:color="auto" w:fill="auto"/>
            <w:noWrap/>
            <w:vAlign w:val="bottom"/>
            <w:hideMark/>
          </w:tcPr>
          <w:p w:rsidR="00852E49" w:rsidRPr="00F1263A" w:rsidRDefault="00852E49" w:rsidP="00D7463F">
            <w:pPr>
              <w:spacing w:after="0" w:line="240" w:lineRule="auto"/>
              <w:rPr>
                <w:rFonts w:eastAsia="Times New Roman" w:cs="Calibri"/>
                <w:color w:val="000000"/>
                <w:sz w:val="16"/>
                <w:szCs w:val="16"/>
              </w:rPr>
            </w:pPr>
          </w:p>
        </w:tc>
        <w:tc>
          <w:tcPr>
            <w:tcW w:w="3225" w:type="dxa"/>
            <w:gridSpan w:val="2"/>
            <w:tcBorders>
              <w:top w:val="nil"/>
              <w:left w:val="nil"/>
              <w:bottom w:val="nil"/>
              <w:right w:val="nil"/>
            </w:tcBorders>
            <w:shd w:val="clear" w:color="auto" w:fill="auto"/>
            <w:noWrap/>
            <w:vAlign w:val="bottom"/>
            <w:hideMark/>
          </w:tcPr>
          <w:p w:rsidR="00852E49" w:rsidRPr="00F1263A" w:rsidRDefault="00852E49" w:rsidP="00D7463F">
            <w:pPr>
              <w:spacing w:after="0" w:line="240" w:lineRule="auto"/>
              <w:rPr>
                <w:rFonts w:eastAsia="Times New Roman" w:cs="Calibri"/>
                <w:color w:val="000000"/>
                <w:sz w:val="16"/>
                <w:szCs w:val="16"/>
              </w:rPr>
            </w:pPr>
          </w:p>
        </w:tc>
        <w:tc>
          <w:tcPr>
            <w:tcW w:w="1680" w:type="dxa"/>
            <w:gridSpan w:val="2"/>
            <w:tcBorders>
              <w:top w:val="nil"/>
              <w:left w:val="nil"/>
              <w:bottom w:val="nil"/>
              <w:right w:val="nil"/>
            </w:tcBorders>
            <w:shd w:val="clear" w:color="auto" w:fill="auto"/>
            <w:noWrap/>
            <w:vAlign w:val="bottom"/>
            <w:hideMark/>
          </w:tcPr>
          <w:p w:rsidR="00852E49" w:rsidRPr="00F1263A" w:rsidRDefault="00852E49" w:rsidP="00D7463F">
            <w:pPr>
              <w:spacing w:after="0" w:line="240" w:lineRule="auto"/>
              <w:jc w:val="center"/>
              <w:rPr>
                <w:rFonts w:eastAsia="Times New Roman" w:cs="Calibri"/>
                <w:b/>
                <w:bCs/>
                <w:color w:val="000000"/>
                <w:sz w:val="16"/>
                <w:szCs w:val="16"/>
              </w:rPr>
            </w:pPr>
          </w:p>
        </w:tc>
        <w:tc>
          <w:tcPr>
            <w:tcW w:w="580" w:type="dxa"/>
            <w:tcBorders>
              <w:top w:val="nil"/>
              <w:left w:val="nil"/>
              <w:bottom w:val="nil"/>
              <w:right w:val="nil"/>
            </w:tcBorders>
            <w:shd w:val="clear" w:color="auto" w:fill="auto"/>
            <w:noWrap/>
            <w:vAlign w:val="bottom"/>
            <w:hideMark/>
          </w:tcPr>
          <w:p w:rsidR="00852E49" w:rsidRPr="00F1263A" w:rsidRDefault="00852E49" w:rsidP="00D7463F">
            <w:pPr>
              <w:spacing w:after="0" w:line="240" w:lineRule="auto"/>
              <w:jc w:val="center"/>
              <w:rPr>
                <w:rFonts w:eastAsia="Times New Roman" w:cs="Calibri"/>
                <w:color w:val="000000"/>
                <w:sz w:val="16"/>
                <w:szCs w:val="16"/>
              </w:rPr>
            </w:pPr>
          </w:p>
        </w:tc>
      </w:tr>
      <w:tr w:rsidR="00852E49" w:rsidRPr="00F1263A" w:rsidTr="001074AA">
        <w:trPr>
          <w:trHeight w:val="318"/>
        </w:trPr>
        <w:tc>
          <w:tcPr>
            <w:tcW w:w="4242" w:type="dxa"/>
            <w:gridSpan w:val="3"/>
            <w:tcBorders>
              <w:top w:val="single" w:sz="4" w:space="0" w:color="auto"/>
              <w:left w:val="single" w:sz="4" w:space="0" w:color="auto"/>
              <w:bottom w:val="single" w:sz="4" w:space="0" w:color="auto"/>
              <w:right w:val="single" w:sz="4" w:space="0" w:color="auto"/>
            </w:tcBorders>
            <w:shd w:val="clear" w:color="000000" w:fill="93CDDD"/>
            <w:vAlign w:val="bottom"/>
            <w:hideMark/>
          </w:tcPr>
          <w:p w:rsidR="00852E49" w:rsidRPr="00F1263A" w:rsidRDefault="00852E49" w:rsidP="00D7463F">
            <w:pPr>
              <w:spacing w:after="0" w:line="240" w:lineRule="auto"/>
              <w:jc w:val="center"/>
              <w:rPr>
                <w:rFonts w:eastAsia="Times New Roman" w:cs="Calibri"/>
                <w:b/>
                <w:bCs/>
                <w:color w:val="000000"/>
                <w:sz w:val="16"/>
                <w:szCs w:val="16"/>
              </w:rPr>
            </w:pPr>
            <w:r w:rsidRPr="00F1263A">
              <w:rPr>
                <w:rFonts w:eastAsia="Times New Roman" w:cs="Calibri"/>
                <w:b/>
                <w:bCs/>
                <w:color w:val="000000"/>
                <w:sz w:val="16"/>
                <w:szCs w:val="16"/>
              </w:rPr>
              <w:t>Market Survey -- Total Annual Plan Costs</w:t>
            </w:r>
          </w:p>
        </w:tc>
        <w:tc>
          <w:tcPr>
            <w:tcW w:w="527" w:type="dxa"/>
            <w:tcBorders>
              <w:top w:val="nil"/>
              <w:left w:val="nil"/>
              <w:bottom w:val="nil"/>
              <w:right w:val="nil"/>
            </w:tcBorders>
            <w:shd w:val="clear" w:color="auto" w:fill="auto"/>
            <w:noWrap/>
            <w:vAlign w:val="bottom"/>
            <w:hideMark/>
          </w:tcPr>
          <w:p w:rsidR="00852E49" w:rsidRPr="00F1263A" w:rsidRDefault="00852E49" w:rsidP="00D7463F">
            <w:pPr>
              <w:spacing w:after="0" w:line="240" w:lineRule="auto"/>
              <w:rPr>
                <w:rFonts w:eastAsia="Times New Roman" w:cs="Calibri"/>
                <w:color w:val="000000"/>
                <w:sz w:val="16"/>
                <w:szCs w:val="16"/>
              </w:rPr>
            </w:pPr>
          </w:p>
        </w:tc>
        <w:tc>
          <w:tcPr>
            <w:tcW w:w="5485" w:type="dxa"/>
            <w:gridSpan w:val="5"/>
            <w:tcBorders>
              <w:top w:val="single" w:sz="4" w:space="0" w:color="auto"/>
              <w:left w:val="single" w:sz="4" w:space="0" w:color="auto"/>
              <w:bottom w:val="single" w:sz="4" w:space="0" w:color="auto"/>
              <w:right w:val="single" w:sz="4" w:space="0" w:color="auto"/>
            </w:tcBorders>
            <w:shd w:val="clear" w:color="000000" w:fill="93CDDD"/>
            <w:vAlign w:val="bottom"/>
            <w:hideMark/>
          </w:tcPr>
          <w:p w:rsidR="00852E49" w:rsidRPr="00F1263A" w:rsidRDefault="00852E49" w:rsidP="00D7463F">
            <w:pPr>
              <w:spacing w:after="0" w:line="240" w:lineRule="auto"/>
              <w:jc w:val="center"/>
              <w:rPr>
                <w:rFonts w:eastAsia="Times New Roman" w:cs="Calibri"/>
                <w:b/>
                <w:bCs/>
                <w:color w:val="000000"/>
                <w:sz w:val="16"/>
                <w:szCs w:val="16"/>
              </w:rPr>
            </w:pPr>
            <w:r w:rsidRPr="00F1263A">
              <w:rPr>
                <w:rFonts w:eastAsia="Times New Roman" w:cs="Calibri"/>
                <w:b/>
                <w:bCs/>
                <w:color w:val="000000"/>
                <w:sz w:val="16"/>
                <w:szCs w:val="16"/>
              </w:rPr>
              <w:t>Market Survey -- Total Annual Plan Costs</w:t>
            </w:r>
          </w:p>
        </w:tc>
      </w:tr>
      <w:tr w:rsidR="001074AA" w:rsidRPr="00275763" w:rsidTr="001074AA">
        <w:trPr>
          <w:trHeight w:val="393"/>
        </w:trPr>
        <w:tc>
          <w:tcPr>
            <w:tcW w:w="1421" w:type="dxa"/>
            <w:tcBorders>
              <w:top w:val="nil"/>
              <w:left w:val="single" w:sz="4" w:space="0" w:color="auto"/>
              <w:bottom w:val="single" w:sz="4" w:space="0" w:color="auto"/>
              <w:right w:val="single" w:sz="4" w:space="0" w:color="auto"/>
            </w:tcBorders>
            <w:shd w:val="clear" w:color="auto" w:fill="auto"/>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Individual</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Family</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 xml:space="preserve">(Lowest to Highest </w:t>
            </w:r>
            <w:r w:rsidRPr="00392F66">
              <w:rPr>
                <w:rFonts w:eastAsia="Times New Roman" w:cs="Calibri"/>
                <w:b/>
                <w:bCs/>
                <w:color w:val="FF0000"/>
                <w:sz w:val="18"/>
                <w:szCs w:val="18"/>
              </w:rPr>
              <w:t>Individual</w:t>
            </w:r>
            <w:r w:rsidRPr="00392F66">
              <w:rPr>
                <w:rFonts w:eastAsia="Times New Roman" w:cs="Calibri"/>
                <w:b/>
                <w:bCs/>
                <w:color w:val="000000"/>
                <w:sz w:val="18"/>
                <w:szCs w:val="18"/>
              </w:rPr>
              <w:t xml:space="preserve"> Plan Cost)</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b/>
                <w:bCs/>
                <w:color w:val="000000"/>
                <w:sz w:val="18"/>
                <w:szCs w:val="18"/>
              </w:rPr>
            </w:pPr>
          </w:p>
        </w:tc>
        <w:tc>
          <w:tcPr>
            <w:tcW w:w="2462" w:type="dxa"/>
            <w:tcBorders>
              <w:top w:val="nil"/>
              <w:left w:val="single" w:sz="4" w:space="0" w:color="auto"/>
              <w:bottom w:val="single" w:sz="4" w:space="0" w:color="auto"/>
              <w:right w:val="single" w:sz="4" w:space="0" w:color="auto"/>
            </w:tcBorders>
            <w:shd w:val="clear" w:color="auto" w:fill="auto"/>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Individual</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Family</w:t>
            </w:r>
          </w:p>
        </w:tc>
        <w:tc>
          <w:tcPr>
            <w:tcW w:w="1087" w:type="dxa"/>
            <w:gridSpan w:val="2"/>
            <w:tcBorders>
              <w:top w:val="nil"/>
              <w:left w:val="nil"/>
              <w:bottom w:val="nil"/>
              <w:right w:val="single" w:sz="4" w:space="0" w:color="auto"/>
            </w:tcBorders>
            <w:shd w:val="clear" w:color="auto" w:fill="auto"/>
            <w:noWrap/>
            <w:vAlign w:val="bottom"/>
            <w:hideMark/>
          </w:tcPr>
          <w:p w:rsidR="00852E49" w:rsidRPr="00275763" w:rsidRDefault="00392F66" w:rsidP="00D7463F">
            <w:pPr>
              <w:spacing w:after="0" w:line="240" w:lineRule="auto"/>
              <w:rPr>
                <w:rFonts w:eastAsia="Times New Roman" w:cs="Calibri"/>
                <w:color w:val="000000"/>
                <w:sz w:val="18"/>
                <w:szCs w:val="18"/>
              </w:rPr>
            </w:pPr>
            <w:r w:rsidRPr="00392F66">
              <w:rPr>
                <w:rFonts w:eastAsia="Times New Roman" w:cs="Calibri"/>
                <w:color w:val="000000"/>
                <w:sz w:val="18"/>
                <w:szCs w:val="18"/>
              </w:rPr>
              <w:t> </w:t>
            </w:r>
          </w:p>
        </w:tc>
      </w:tr>
      <w:tr w:rsidR="00852E49" w:rsidRPr="00275763" w:rsidTr="001074AA">
        <w:trPr>
          <w:trHeight w:val="329"/>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$5,028.00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$14,748.00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b/>
                <w:bCs/>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CCC0DA"/>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$8,346.00</w:t>
            </w:r>
          </w:p>
        </w:tc>
        <w:tc>
          <w:tcPr>
            <w:tcW w:w="1936" w:type="dxa"/>
            <w:gridSpan w:val="2"/>
            <w:tcBorders>
              <w:top w:val="nil"/>
              <w:left w:val="nil"/>
              <w:bottom w:val="single" w:sz="4" w:space="0" w:color="auto"/>
              <w:right w:val="single" w:sz="4" w:space="0" w:color="auto"/>
            </w:tcBorders>
            <w:shd w:val="clear" w:color="000000" w:fill="CCC0DA"/>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$11,526.00</w:t>
            </w:r>
          </w:p>
        </w:tc>
        <w:tc>
          <w:tcPr>
            <w:tcW w:w="1087" w:type="dxa"/>
            <w:gridSpan w:val="2"/>
            <w:tcBorders>
              <w:top w:val="single" w:sz="4" w:space="0" w:color="auto"/>
              <w:left w:val="nil"/>
              <w:bottom w:val="single" w:sz="4" w:space="0" w:color="auto"/>
              <w:right w:val="single" w:sz="4" w:space="0" w:color="auto"/>
            </w:tcBorders>
            <w:shd w:val="clear" w:color="000000" w:fill="CCC0DA"/>
            <w:noWrap/>
            <w:vAlign w:val="bottom"/>
            <w:hideMark/>
          </w:tcPr>
          <w:p w:rsidR="00852E49" w:rsidRPr="00275763" w:rsidRDefault="00392F66" w:rsidP="00D7463F">
            <w:pPr>
              <w:spacing w:after="0" w:line="240" w:lineRule="auto"/>
              <w:rPr>
                <w:rFonts w:eastAsia="Times New Roman" w:cs="Calibri"/>
                <w:i/>
                <w:iCs/>
                <w:color w:val="000000"/>
                <w:sz w:val="18"/>
                <w:szCs w:val="18"/>
              </w:rPr>
            </w:pPr>
            <w:r w:rsidRPr="00392F66">
              <w:rPr>
                <w:rFonts w:eastAsia="Times New Roman" w:cs="Calibri"/>
                <w:i/>
                <w:iCs/>
                <w:color w:val="000000"/>
                <w:sz w:val="18"/>
                <w:szCs w:val="18"/>
              </w:rPr>
              <w:t>Albemarle</w:t>
            </w:r>
          </w:p>
        </w:tc>
      </w:tr>
      <w:tr w:rsidR="00852E49"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$5,484.00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$16,896.00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$6,893.04</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$13,409.16</w:t>
            </w:r>
          </w:p>
        </w:tc>
        <w:tc>
          <w:tcPr>
            <w:tcW w:w="1087" w:type="dxa"/>
            <w:gridSpan w:val="2"/>
            <w:vMerge w:val="restart"/>
            <w:tcBorders>
              <w:top w:val="nil"/>
              <w:left w:val="single" w:sz="4" w:space="0" w:color="auto"/>
              <w:bottom w:val="nil"/>
              <w:right w:val="single" w:sz="4" w:space="0" w:color="auto"/>
            </w:tcBorders>
            <w:shd w:val="clear" w:color="auto" w:fill="auto"/>
            <w:vAlign w:val="center"/>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 xml:space="preserve">(Lowest to Highest </w:t>
            </w:r>
            <w:r w:rsidRPr="00392F66">
              <w:rPr>
                <w:rFonts w:eastAsia="Times New Roman" w:cs="Calibri"/>
                <w:b/>
                <w:bCs/>
                <w:color w:val="FF0000"/>
                <w:sz w:val="18"/>
                <w:szCs w:val="18"/>
              </w:rPr>
              <w:t>Family</w:t>
            </w:r>
            <w:r w:rsidRPr="00392F66">
              <w:rPr>
                <w:rFonts w:eastAsia="Times New Roman" w:cs="Calibri"/>
                <w:b/>
                <w:bCs/>
                <w:color w:val="000000"/>
                <w:sz w:val="18"/>
                <w:szCs w:val="18"/>
              </w:rPr>
              <w:t xml:space="preserve"> Plan Cost)</w:t>
            </w:r>
          </w:p>
        </w:tc>
      </w:tr>
      <w:tr w:rsidR="001074AA" w:rsidRPr="00275763" w:rsidTr="001074AA">
        <w:trPr>
          <w:trHeight w:val="293"/>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$5,822.00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$18,633.24</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$5,028.00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$14,748.00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29"/>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$6,096.00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$18,000.00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$6,685.92</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$15,980.04</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$6,120.00</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$17,160.00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$5,484.00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$16,896.00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27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$6,264.00</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$18,036.00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$6,120.00</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$17,160.00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$6,378.48</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$18,415.44</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$6,792.00</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$17,328.00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$6,587.00</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$19,767.00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$6,648.00</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$17,952.00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$6,648.00</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$17,952.00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$6,096.00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$18,000.00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$6,685.92</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numPr>
                <w:ilvl w:val="0"/>
                <w:numId w:val="7"/>
              </w:numPr>
              <w:spacing w:after="0" w:line="240" w:lineRule="auto"/>
              <w:jc w:val="center"/>
              <w:rPr>
                <w:rFonts w:eastAsia="Times New Roman" w:cs="Calibri"/>
                <w:color w:val="000000"/>
                <w:sz w:val="18"/>
                <w:szCs w:val="18"/>
              </w:rPr>
            </w:pPr>
            <w:r w:rsidRPr="00392F66">
              <w:rPr>
                <w:rFonts w:eastAsia="Times New Roman" w:cs="Calibri"/>
                <w:color w:val="000000"/>
                <w:sz w:val="18"/>
                <w:szCs w:val="18"/>
              </w:rPr>
              <w:t>$15,980.04</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$6,264.00</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numPr>
                <w:ilvl w:val="0"/>
                <w:numId w:val="7"/>
              </w:numPr>
              <w:spacing w:after="0" w:line="240" w:lineRule="auto"/>
              <w:jc w:val="center"/>
              <w:rPr>
                <w:rFonts w:eastAsia="Times New Roman" w:cs="Calibri"/>
                <w:color w:val="000000"/>
                <w:sz w:val="18"/>
                <w:szCs w:val="18"/>
              </w:rPr>
            </w:pPr>
            <w:r w:rsidRPr="00392F66">
              <w:rPr>
                <w:rFonts w:eastAsia="Times New Roman" w:cs="Calibri"/>
                <w:color w:val="000000"/>
                <w:sz w:val="18"/>
                <w:szCs w:val="18"/>
              </w:rPr>
              <w:t>$18,036.00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$6,720.00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$18,144.00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$6,720.00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$18,144.00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852E49"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$6,752.64</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$22,842.96</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$6,756.00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$18,228.00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852E49"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$6,756.00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$18,228.00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$6,378.48</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$18,415.44</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$6,792.00</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$17,328.00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$5,822.00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$18,633.24</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$6,893.04</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$13,409.16</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$8,023.80</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$19,176.72</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852E49"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$7,320.00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$19,764.00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$7,799.28</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$19,552.48</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852E49"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$7,799.28</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$19,552.48</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$7,320.00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$19,764.00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$8,023.80</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$19,176.72</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$6,587.00</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$19,767.00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852E49"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$8,184.00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$24,156.00</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$8,388.00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$20,412.00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852E49"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CCC0DA"/>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$8,346.00</w:t>
            </w:r>
          </w:p>
        </w:tc>
        <w:tc>
          <w:tcPr>
            <w:tcW w:w="1583" w:type="dxa"/>
            <w:tcBorders>
              <w:top w:val="nil"/>
              <w:left w:val="nil"/>
              <w:bottom w:val="single" w:sz="4" w:space="0" w:color="auto"/>
              <w:right w:val="single" w:sz="4" w:space="0" w:color="auto"/>
            </w:tcBorders>
            <w:shd w:val="clear" w:color="000000" w:fill="CCC0DA"/>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$11,526.00</w:t>
            </w:r>
          </w:p>
        </w:tc>
        <w:tc>
          <w:tcPr>
            <w:tcW w:w="1238" w:type="dxa"/>
            <w:tcBorders>
              <w:top w:val="nil"/>
              <w:left w:val="nil"/>
              <w:bottom w:val="single" w:sz="4" w:space="0" w:color="auto"/>
              <w:right w:val="single" w:sz="4" w:space="0" w:color="auto"/>
            </w:tcBorders>
            <w:shd w:val="clear" w:color="000000" w:fill="CCC0DA"/>
            <w:vAlign w:val="center"/>
            <w:hideMark/>
          </w:tcPr>
          <w:p w:rsidR="00852E49" w:rsidRPr="00275763" w:rsidRDefault="00392F66" w:rsidP="00D7463F">
            <w:pPr>
              <w:spacing w:after="0" w:line="240" w:lineRule="auto"/>
              <w:rPr>
                <w:rFonts w:eastAsia="Times New Roman" w:cs="Calibri"/>
                <w:i/>
                <w:iCs/>
                <w:color w:val="000000"/>
                <w:sz w:val="18"/>
                <w:szCs w:val="18"/>
              </w:rPr>
            </w:pPr>
            <w:r w:rsidRPr="00392F66">
              <w:rPr>
                <w:rFonts w:eastAsia="Times New Roman" w:cs="Calibri"/>
                <w:i/>
                <w:iCs/>
                <w:color w:val="000000"/>
                <w:sz w:val="18"/>
                <w:szCs w:val="18"/>
              </w:rPr>
              <w:t>Albemarle</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$6,752.64</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$22,842.96</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852E49"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$8,388.00</w:t>
            </w:r>
          </w:p>
        </w:tc>
        <w:tc>
          <w:tcPr>
            <w:tcW w:w="1583" w:type="dxa"/>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$20,412.00</w:t>
            </w:r>
          </w:p>
        </w:tc>
        <w:tc>
          <w:tcPr>
            <w:tcW w:w="1238" w:type="dxa"/>
            <w:vMerge w:val="restart"/>
            <w:tcBorders>
              <w:top w:val="nil"/>
              <w:left w:val="single" w:sz="4" w:space="0" w:color="auto"/>
              <w:bottom w:val="single" w:sz="4" w:space="0" w:color="000000"/>
              <w:right w:val="single" w:sz="4" w:space="0" w:color="auto"/>
            </w:tcBorders>
            <w:shd w:val="clear" w:color="auto" w:fill="auto"/>
            <w:vAlign w:val="center"/>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 </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$8,739.72</w:t>
            </w:r>
          </w:p>
        </w:tc>
        <w:tc>
          <w:tcPr>
            <w:tcW w:w="1936" w:type="dxa"/>
            <w:gridSpan w:val="2"/>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$23,451.12</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1074AA" w:rsidRPr="00275763" w:rsidTr="001074AA">
        <w:trPr>
          <w:trHeight w:val="318"/>
        </w:trPr>
        <w:tc>
          <w:tcPr>
            <w:tcW w:w="1421" w:type="dxa"/>
            <w:tcBorders>
              <w:top w:val="nil"/>
              <w:left w:val="single" w:sz="4" w:space="0" w:color="auto"/>
              <w:bottom w:val="single" w:sz="4" w:space="0" w:color="auto"/>
              <w:right w:val="single" w:sz="4" w:space="0" w:color="auto"/>
            </w:tcBorders>
            <w:shd w:val="clear" w:color="000000" w:fill="FFFFFF"/>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$8,739.72</w:t>
            </w:r>
          </w:p>
        </w:tc>
        <w:tc>
          <w:tcPr>
            <w:tcW w:w="1583" w:type="dxa"/>
            <w:tcBorders>
              <w:top w:val="nil"/>
              <w:left w:val="nil"/>
              <w:bottom w:val="single" w:sz="4" w:space="0" w:color="auto"/>
              <w:right w:val="single" w:sz="4" w:space="0" w:color="auto"/>
            </w:tcBorders>
            <w:shd w:val="clear" w:color="auto" w:fill="auto"/>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$23,451.12</w:t>
            </w:r>
          </w:p>
        </w:tc>
        <w:tc>
          <w:tcPr>
            <w:tcW w:w="1238" w:type="dxa"/>
            <w:vMerge/>
            <w:tcBorders>
              <w:top w:val="nil"/>
              <w:left w:val="single" w:sz="4" w:space="0" w:color="auto"/>
              <w:bottom w:val="single" w:sz="4" w:space="0" w:color="000000"/>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$8,184.00</w:t>
            </w:r>
          </w:p>
        </w:tc>
        <w:tc>
          <w:tcPr>
            <w:tcW w:w="1936" w:type="dxa"/>
            <w:gridSpan w:val="2"/>
            <w:tcBorders>
              <w:top w:val="nil"/>
              <w:left w:val="nil"/>
              <w:bottom w:val="single" w:sz="4" w:space="0" w:color="auto"/>
              <w:right w:val="single" w:sz="4" w:space="0" w:color="auto"/>
            </w:tcBorders>
            <w:shd w:val="clear" w:color="000000" w:fill="FFFFFF"/>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$24,156.00</w:t>
            </w:r>
          </w:p>
        </w:tc>
        <w:tc>
          <w:tcPr>
            <w:tcW w:w="1087" w:type="dxa"/>
            <w:gridSpan w:val="2"/>
            <w:vMerge/>
            <w:tcBorders>
              <w:top w:val="nil"/>
              <w:left w:val="single" w:sz="4" w:space="0" w:color="auto"/>
              <w:bottom w:val="nil"/>
              <w:right w:val="single" w:sz="4" w:space="0" w:color="auto"/>
            </w:tcBorders>
            <w:vAlign w:val="center"/>
            <w:hideMark/>
          </w:tcPr>
          <w:p w:rsidR="00852E49" w:rsidRPr="00275763" w:rsidRDefault="00852E49" w:rsidP="00D7463F">
            <w:pPr>
              <w:spacing w:after="0" w:line="240" w:lineRule="auto"/>
              <w:rPr>
                <w:rFonts w:eastAsia="Times New Roman" w:cs="Calibri"/>
                <w:b/>
                <w:bCs/>
                <w:color w:val="000000"/>
                <w:sz w:val="18"/>
                <w:szCs w:val="18"/>
              </w:rPr>
            </w:pPr>
          </w:p>
        </w:tc>
      </w:tr>
      <w:tr w:rsidR="00852E49" w:rsidRPr="00275763" w:rsidTr="001074AA">
        <w:trPr>
          <w:trHeight w:val="73"/>
        </w:trPr>
        <w:tc>
          <w:tcPr>
            <w:tcW w:w="1421" w:type="dxa"/>
            <w:tcBorders>
              <w:top w:val="nil"/>
              <w:left w:val="single" w:sz="4" w:space="0" w:color="auto"/>
              <w:bottom w:val="double" w:sz="6" w:space="0" w:color="auto"/>
              <w:right w:val="single" w:sz="4" w:space="0" w:color="auto"/>
            </w:tcBorders>
            <w:shd w:val="clear" w:color="000000" w:fill="F2DDDC"/>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$6,901.27</w:t>
            </w:r>
          </w:p>
        </w:tc>
        <w:tc>
          <w:tcPr>
            <w:tcW w:w="1583" w:type="dxa"/>
            <w:tcBorders>
              <w:top w:val="nil"/>
              <w:left w:val="nil"/>
              <w:bottom w:val="double" w:sz="6" w:space="0" w:color="auto"/>
              <w:right w:val="single" w:sz="4" w:space="0" w:color="auto"/>
            </w:tcBorders>
            <w:shd w:val="clear" w:color="000000" w:fill="F2DDDC"/>
            <w:noWrap/>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$18,344.46</w:t>
            </w:r>
          </w:p>
        </w:tc>
        <w:tc>
          <w:tcPr>
            <w:tcW w:w="1238" w:type="dxa"/>
            <w:tcBorders>
              <w:top w:val="nil"/>
              <w:left w:val="nil"/>
              <w:bottom w:val="double" w:sz="6" w:space="0" w:color="auto"/>
              <w:right w:val="single" w:sz="4" w:space="0" w:color="auto"/>
            </w:tcBorders>
            <w:shd w:val="clear" w:color="000000" w:fill="F2DDDC"/>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AVERAGE TOTAL COST</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single" w:sz="4" w:space="0" w:color="auto"/>
              <w:bottom w:val="double" w:sz="6" w:space="0" w:color="auto"/>
              <w:right w:val="single" w:sz="4" w:space="0" w:color="auto"/>
            </w:tcBorders>
            <w:shd w:val="clear" w:color="000000" w:fill="F2DDDC"/>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$6,901.27</w:t>
            </w:r>
          </w:p>
        </w:tc>
        <w:tc>
          <w:tcPr>
            <w:tcW w:w="1936" w:type="dxa"/>
            <w:gridSpan w:val="2"/>
            <w:tcBorders>
              <w:top w:val="nil"/>
              <w:left w:val="nil"/>
              <w:bottom w:val="double" w:sz="6" w:space="0" w:color="auto"/>
              <w:right w:val="single" w:sz="4" w:space="0" w:color="auto"/>
            </w:tcBorders>
            <w:shd w:val="clear" w:color="000000" w:fill="F2DDDC"/>
            <w:noWrap/>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$18,344.46</w:t>
            </w:r>
          </w:p>
        </w:tc>
        <w:tc>
          <w:tcPr>
            <w:tcW w:w="1087" w:type="dxa"/>
            <w:gridSpan w:val="2"/>
            <w:tcBorders>
              <w:top w:val="single" w:sz="4" w:space="0" w:color="auto"/>
              <w:left w:val="nil"/>
              <w:bottom w:val="single" w:sz="4" w:space="0" w:color="auto"/>
              <w:right w:val="single" w:sz="4" w:space="0" w:color="auto"/>
            </w:tcBorders>
            <w:shd w:val="clear" w:color="000000" w:fill="F2DDDC"/>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AVERAGE TOTAL COST</w:t>
            </w:r>
          </w:p>
        </w:tc>
      </w:tr>
      <w:tr w:rsidR="001074AA" w:rsidRPr="00275763" w:rsidTr="001074AA">
        <w:trPr>
          <w:trHeight w:val="333"/>
        </w:trPr>
        <w:tc>
          <w:tcPr>
            <w:tcW w:w="1421"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583"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238"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2462"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936" w:type="dxa"/>
            <w:gridSpan w:val="2"/>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087" w:type="dxa"/>
            <w:gridSpan w:val="2"/>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r>
      <w:tr w:rsidR="00852E49" w:rsidRPr="00275763" w:rsidTr="001074AA">
        <w:trPr>
          <w:trHeight w:val="318"/>
        </w:trPr>
        <w:tc>
          <w:tcPr>
            <w:tcW w:w="3004" w:type="dxa"/>
            <w:gridSpan w:val="2"/>
            <w:tcBorders>
              <w:top w:val="single" w:sz="4" w:space="0" w:color="auto"/>
              <w:left w:val="single" w:sz="4" w:space="0" w:color="auto"/>
              <w:bottom w:val="nil"/>
              <w:right w:val="nil"/>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24 Jurisdictions Total</w:t>
            </w:r>
          </w:p>
        </w:tc>
        <w:tc>
          <w:tcPr>
            <w:tcW w:w="1238" w:type="dxa"/>
            <w:tcBorders>
              <w:top w:val="single" w:sz="4" w:space="0" w:color="auto"/>
              <w:left w:val="nil"/>
              <w:bottom w:val="nil"/>
              <w:right w:val="single" w:sz="4" w:space="0" w:color="auto"/>
            </w:tcBorders>
            <w:shd w:val="clear" w:color="000000" w:fill="E0E0E0"/>
            <w:noWrap/>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 </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4398" w:type="dxa"/>
            <w:gridSpan w:val="3"/>
            <w:tcBorders>
              <w:top w:val="single" w:sz="4" w:space="0" w:color="auto"/>
              <w:left w:val="single" w:sz="4" w:space="0" w:color="auto"/>
              <w:bottom w:val="nil"/>
              <w:right w:val="nil"/>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Survey Average Cost for Individual Premium:</w:t>
            </w:r>
          </w:p>
        </w:tc>
        <w:tc>
          <w:tcPr>
            <w:tcW w:w="1087" w:type="dxa"/>
            <w:gridSpan w:val="2"/>
            <w:tcBorders>
              <w:top w:val="single" w:sz="4" w:space="0" w:color="auto"/>
              <w:left w:val="nil"/>
              <w:bottom w:val="nil"/>
              <w:right w:val="single" w:sz="4" w:space="0" w:color="auto"/>
            </w:tcBorders>
            <w:shd w:val="clear" w:color="000000" w:fill="E0E0E0"/>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$6,901.27</w:t>
            </w:r>
          </w:p>
        </w:tc>
      </w:tr>
      <w:tr w:rsidR="00852E49" w:rsidRPr="00275763" w:rsidTr="001074AA">
        <w:trPr>
          <w:trHeight w:val="318"/>
        </w:trPr>
        <w:tc>
          <w:tcPr>
            <w:tcW w:w="4242" w:type="dxa"/>
            <w:gridSpan w:val="3"/>
            <w:tcBorders>
              <w:top w:val="nil"/>
              <w:left w:val="single" w:sz="4" w:space="0" w:color="auto"/>
              <w:bottom w:val="single" w:sz="4" w:space="0" w:color="auto"/>
              <w:right w:val="single" w:sz="4" w:space="0" w:color="000000"/>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22 Jurisdictions included in Average calculation</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4398" w:type="dxa"/>
            <w:gridSpan w:val="3"/>
            <w:tcBorders>
              <w:top w:val="nil"/>
              <w:left w:val="single" w:sz="4" w:space="0" w:color="auto"/>
              <w:bottom w:val="nil"/>
              <w:right w:val="nil"/>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Survey Average Cost for Family Premium:</w:t>
            </w:r>
          </w:p>
        </w:tc>
        <w:tc>
          <w:tcPr>
            <w:tcW w:w="1087" w:type="dxa"/>
            <w:gridSpan w:val="2"/>
            <w:tcBorders>
              <w:top w:val="nil"/>
              <w:left w:val="nil"/>
              <w:bottom w:val="nil"/>
              <w:right w:val="single" w:sz="4" w:space="0" w:color="auto"/>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$18,344.46</w:t>
            </w:r>
          </w:p>
        </w:tc>
      </w:tr>
      <w:tr w:rsidR="001074AA" w:rsidRPr="00275763" w:rsidTr="001074AA">
        <w:trPr>
          <w:trHeight w:val="318"/>
        </w:trPr>
        <w:tc>
          <w:tcPr>
            <w:tcW w:w="1421"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583"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238"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jc w:val="center"/>
              <w:rPr>
                <w:rFonts w:eastAsia="Times New Roman" w:cs="Calibri"/>
                <w:b/>
                <w:bCs/>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3225" w:type="dxa"/>
            <w:gridSpan w:val="2"/>
            <w:tcBorders>
              <w:top w:val="nil"/>
              <w:left w:val="single" w:sz="4" w:space="0" w:color="auto"/>
              <w:bottom w:val="nil"/>
              <w:right w:val="nil"/>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 </w:t>
            </w:r>
          </w:p>
        </w:tc>
        <w:tc>
          <w:tcPr>
            <w:tcW w:w="1173" w:type="dxa"/>
            <w:tcBorders>
              <w:top w:val="nil"/>
              <w:left w:val="nil"/>
              <w:bottom w:val="nil"/>
              <w:right w:val="nil"/>
            </w:tcBorders>
            <w:shd w:val="clear" w:color="000000" w:fill="E0E0E0"/>
            <w:noWrap/>
            <w:vAlign w:val="bottom"/>
            <w:hideMark/>
          </w:tcPr>
          <w:p w:rsidR="00852E49" w:rsidRPr="00275763" w:rsidRDefault="00392F66" w:rsidP="00D7463F">
            <w:pPr>
              <w:spacing w:after="0" w:line="240" w:lineRule="auto"/>
              <w:jc w:val="center"/>
              <w:rPr>
                <w:rFonts w:eastAsia="Times New Roman" w:cs="Calibri"/>
                <w:b/>
                <w:bCs/>
                <w:color w:val="000000"/>
                <w:sz w:val="18"/>
                <w:szCs w:val="18"/>
              </w:rPr>
            </w:pPr>
            <w:r w:rsidRPr="00392F66">
              <w:rPr>
                <w:rFonts w:eastAsia="Times New Roman" w:cs="Calibri"/>
                <w:b/>
                <w:bCs/>
                <w:color w:val="000000"/>
                <w:sz w:val="18"/>
                <w:szCs w:val="18"/>
              </w:rPr>
              <w:t> </w:t>
            </w:r>
          </w:p>
        </w:tc>
        <w:tc>
          <w:tcPr>
            <w:tcW w:w="1087" w:type="dxa"/>
            <w:gridSpan w:val="2"/>
            <w:tcBorders>
              <w:top w:val="nil"/>
              <w:left w:val="nil"/>
              <w:bottom w:val="nil"/>
              <w:right w:val="single" w:sz="4" w:space="0" w:color="auto"/>
            </w:tcBorders>
            <w:shd w:val="clear" w:color="000000" w:fill="E0E0E0"/>
            <w:noWrap/>
            <w:vAlign w:val="bottom"/>
            <w:hideMark/>
          </w:tcPr>
          <w:p w:rsidR="00852E49" w:rsidRPr="00275763" w:rsidRDefault="00392F66" w:rsidP="00D7463F">
            <w:pPr>
              <w:spacing w:after="0" w:line="240" w:lineRule="auto"/>
              <w:jc w:val="center"/>
              <w:rPr>
                <w:rFonts w:eastAsia="Times New Roman" w:cs="Calibri"/>
                <w:color w:val="000000"/>
                <w:sz w:val="18"/>
                <w:szCs w:val="18"/>
              </w:rPr>
            </w:pPr>
            <w:r w:rsidRPr="00392F66">
              <w:rPr>
                <w:rFonts w:eastAsia="Times New Roman" w:cs="Calibri"/>
                <w:color w:val="000000"/>
                <w:sz w:val="18"/>
                <w:szCs w:val="18"/>
              </w:rPr>
              <w:t> </w:t>
            </w:r>
          </w:p>
        </w:tc>
      </w:tr>
      <w:tr w:rsidR="00852E49" w:rsidRPr="00275763" w:rsidTr="001074AA">
        <w:trPr>
          <w:trHeight w:val="318"/>
        </w:trPr>
        <w:tc>
          <w:tcPr>
            <w:tcW w:w="4242" w:type="dxa"/>
            <w:gridSpan w:val="3"/>
            <w:tcBorders>
              <w:top w:val="single" w:sz="4" w:space="0" w:color="auto"/>
              <w:left w:val="single" w:sz="4" w:space="0" w:color="auto"/>
              <w:bottom w:val="nil"/>
              <w:right w:val="single" w:sz="4" w:space="0" w:color="000000"/>
            </w:tcBorders>
            <w:shd w:val="clear" w:color="000000" w:fill="D8D8D8"/>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68.18% of jurisdictions surveyed reported Deductibles</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4398" w:type="dxa"/>
            <w:gridSpan w:val="3"/>
            <w:tcBorders>
              <w:top w:val="nil"/>
              <w:left w:val="single" w:sz="4" w:space="0" w:color="auto"/>
              <w:bottom w:val="nil"/>
              <w:right w:val="nil"/>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Albemarle Cost for Individual Premium:</w:t>
            </w:r>
          </w:p>
        </w:tc>
        <w:tc>
          <w:tcPr>
            <w:tcW w:w="1087" w:type="dxa"/>
            <w:gridSpan w:val="2"/>
            <w:tcBorders>
              <w:top w:val="nil"/>
              <w:left w:val="nil"/>
              <w:bottom w:val="nil"/>
              <w:right w:val="single" w:sz="4" w:space="0" w:color="auto"/>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$8,346.00</w:t>
            </w:r>
          </w:p>
        </w:tc>
      </w:tr>
      <w:tr w:rsidR="001074AA" w:rsidRPr="00275763" w:rsidTr="001074AA">
        <w:trPr>
          <w:trHeight w:val="318"/>
        </w:trPr>
        <w:tc>
          <w:tcPr>
            <w:tcW w:w="1421" w:type="dxa"/>
            <w:tcBorders>
              <w:top w:val="nil"/>
              <w:left w:val="single" w:sz="4" w:space="0" w:color="auto"/>
              <w:bottom w:val="single" w:sz="4" w:space="0" w:color="auto"/>
              <w:right w:val="nil"/>
            </w:tcBorders>
            <w:shd w:val="clear" w:color="000000" w:fill="D8D8D8"/>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(15 of 22)</w:t>
            </w:r>
          </w:p>
        </w:tc>
        <w:tc>
          <w:tcPr>
            <w:tcW w:w="1583" w:type="dxa"/>
            <w:tcBorders>
              <w:top w:val="nil"/>
              <w:left w:val="nil"/>
              <w:bottom w:val="single" w:sz="4" w:space="0" w:color="auto"/>
              <w:right w:val="nil"/>
            </w:tcBorders>
            <w:shd w:val="clear" w:color="000000" w:fill="D8D8D8"/>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 </w:t>
            </w:r>
          </w:p>
        </w:tc>
        <w:tc>
          <w:tcPr>
            <w:tcW w:w="1238" w:type="dxa"/>
            <w:tcBorders>
              <w:top w:val="nil"/>
              <w:left w:val="nil"/>
              <w:bottom w:val="single" w:sz="4" w:space="0" w:color="auto"/>
              <w:right w:val="single" w:sz="4" w:space="0" w:color="auto"/>
            </w:tcBorders>
            <w:shd w:val="clear" w:color="000000" w:fill="D8D8D8"/>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 </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4398" w:type="dxa"/>
            <w:gridSpan w:val="3"/>
            <w:tcBorders>
              <w:top w:val="nil"/>
              <w:left w:val="single" w:sz="4" w:space="0" w:color="auto"/>
              <w:bottom w:val="single" w:sz="4" w:space="0" w:color="auto"/>
              <w:right w:val="nil"/>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Albemarle Cost for Family Premium:</w:t>
            </w:r>
          </w:p>
        </w:tc>
        <w:tc>
          <w:tcPr>
            <w:tcW w:w="1087" w:type="dxa"/>
            <w:gridSpan w:val="2"/>
            <w:tcBorders>
              <w:top w:val="nil"/>
              <w:left w:val="nil"/>
              <w:bottom w:val="single" w:sz="4" w:space="0" w:color="auto"/>
              <w:right w:val="single" w:sz="4" w:space="0" w:color="auto"/>
            </w:tcBorders>
            <w:shd w:val="clear" w:color="000000" w:fill="E0E0E0"/>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$11,526.00</w:t>
            </w:r>
          </w:p>
        </w:tc>
      </w:tr>
      <w:tr w:rsidR="00852E49" w:rsidRPr="00275763" w:rsidTr="001074AA">
        <w:trPr>
          <w:trHeight w:val="318"/>
        </w:trPr>
        <w:tc>
          <w:tcPr>
            <w:tcW w:w="1421"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583"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238"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3225" w:type="dxa"/>
            <w:gridSpan w:val="2"/>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173"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087" w:type="dxa"/>
            <w:gridSpan w:val="2"/>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r>
      <w:tr w:rsidR="00852E49" w:rsidRPr="00275763" w:rsidTr="001074AA">
        <w:trPr>
          <w:trHeight w:val="318"/>
        </w:trPr>
        <w:tc>
          <w:tcPr>
            <w:tcW w:w="4242" w:type="dxa"/>
            <w:gridSpan w:val="3"/>
            <w:tcBorders>
              <w:top w:val="single" w:sz="4" w:space="0" w:color="auto"/>
              <w:left w:val="single" w:sz="4" w:space="0" w:color="auto"/>
              <w:bottom w:val="nil"/>
              <w:right w:val="single" w:sz="4" w:space="0" w:color="000000"/>
            </w:tcBorders>
            <w:shd w:val="clear" w:color="000000" w:fill="D8D8D8"/>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Average Deductible for Individual Employee:  $370.00</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3225" w:type="dxa"/>
            <w:gridSpan w:val="2"/>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173"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087" w:type="dxa"/>
            <w:gridSpan w:val="2"/>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r>
      <w:tr w:rsidR="00852E49" w:rsidRPr="00275763" w:rsidTr="001074AA">
        <w:trPr>
          <w:trHeight w:val="318"/>
        </w:trPr>
        <w:tc>
          <w:tcPr>
            <w:tcW w:w="4242" w:type="dxa"/>
            <w:gridSpan w:val="3"/>
            <w:tcBorders>
              <w:top w:val="nil"/>
              <w:left w:val="single" w:sz="4" w:space="0" w:color="auto"/>
              <w:bottom w:val="single" w:sz="4" w:space="0" w:color="auto"/>
              <w:right w:val="single" w:sz="4" w:space="0" w:color="000000"/>
            </w:tcBorders>
            <w:shd w:val="clear" w:color="000000" w:fill="D8D8D8"/>
            <w:noWrap/>
            <w:vAlign w:val="bottom"/>
            <w:hideMark/>
          </w:tcPr>
          <w:p w:rsidR="00852E49" w:rsidRPr="00275763" w:rsidRDefault="00392F66" w:rsidP="00D7463F">
            <w:pPr>
              <w:spacing w:after="0" w:line="240" w:lineRule="auto"/>
              <w:rPr>
                <w:rFonts w:eastAsia="Times New Roman" w:cs="Calibri"/>
                <w:b/>
                <w:bCs/>
                <w:color w:val="000000"/>
                <w:sz w:val="18"/>
                <w:szCs w:val="18"/>
              </w:rPr>
            </w:pPr>
            <w:r w:rsidRPr="00392F66">
              <w:rPr>
                <w:rFonts w:eastAsia="Times New Roman" w:cs="Calibri"/>
                <w:b/>
                <w:bCs/>
                <w:color w:val="000000"/>
                <w:sz w:val="18"/>
                <w:szCs w:val="18"/>
              </w:rPr>
              <w:t>Average Deductible for Family:                            $763.33</w:t>
            </w:r>
          </w:p>
        </w:tc>
        <w:tc>
          <w:tcPr>
            <w:tcW w:w="527"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3225" w:type="dxa"/>
            <w:gridSpan w:val="2"/>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173" w:type="dxa"/>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c>
          <w:tcPr>
            <w:tcW w:w="1087" w:type="dxa"/>
            <w:gridSpan w:val="2"/>
            <w:tcBorders>
              <w:top w:val="nil"/>
              <w:left w:val="nil"/>
              <w:bottom w:val="nil"/>
              <w:right w:val="nil"/>
            </w:tcBorders>
            <w:shd w:val="clear" w:color="auto" w:fill="auto"/>
            <w:noWrap/>
            <w:vAlign w:val="bottom"/>
            <w:hideMark/>
          </w:tcPr>
          <w:p w:rsidR="00852E49" w:rsidRPr="00275763" w:rsidRDefault="00852E49" w:rsidP="00D7463F">
            <w:pPr>
              <w:spacing w:after="0" w:line="240" w:lineRule="auto"/>
              <w:rPr>
                <w:rFonts w:eastAsia="Times New Roman" w:cs="Calibri"/>
                <w:color w:val="000000"/>
                <w:sz w:val="18"/>
                <w:szCs w:val="18"/>
              </w:rPr>
            </w:pPr>
          </w:p>
        </w:tc>
      </w:tr>
    </w:tbl>
    <w:p w:rsidR="00B35D77" w:rsidRPr="00275763" w:rsidRDefault="00B35D77" w:rsidP="001120B0">
      <w:pPr>
        <w:pStyle w:val="BodyText3"/>
        <w:rPr>
          <w:rFonts w:ascii="Arial" w:hAnsi="Arial" w:cs="Arial"/>
          <w:sz w:val="18"/>
          <w:szCs w:val="18"/>
          <w:highlight w:val="yellow"/>
        </w:rPr>
      </w:pPr>
    </w:p>
    <w:p w:rsidR="000511F8" w:rsidRDefault="000511F8" w:rsidP="001120B0">
      <w:pPr>
        <w:pStyle w:val="BodyText3"/>
        <w:rPr>
          <w:rFonts w:ascii="Arial" w:hAnsi="Arial" w:cs="Arial"/>
          <w:sz w:val="22"/>
          <w:szCs w:val="22"/>
          <w:highlight w:val="yellow"/>
        </w:rPr>
      </w:pPr>
    </w:p>
    <w:p w:rsidR="006D4AF3" w:rsidRDefault="006D4AF3">
      <w:pPr>
        <w:rPr>
          <w:rFonts w:ascii="Arial" w:hAnsi="Arial" w:cs="Arial"/>
          <w:b/>
          <w:u w:val="single"/>
        </w:rPr>
      </w:pPr>
    </w:p>
    <w:p w:rsidR="006D4AF3" w:rsidRDefault="00392F66">
      <w:pPr>
        <w:rPr>
          <w:rFonts w:ascii="Arial" w:hAnsi="Arial" w:cs="Arial"/>
          <w:b/>
          <w:u w:val="single"/>
        </w:rPr>
      </w:pPr>
      <w:r w:rsidRPr="00392F66">
        <w:rPr>
          <w:rFonts w:ascii="Arial" w:hAnsi="Arial" w:cs="Arial"/>
          <w:b/>
          <w:u w:val="single"/>
        </w:rPr>
        <w:t>Health Care Reserve Fund</w:t>
      </w:r>
    </w:p>
    <w:p w:rsidR="000511F8" w:rsidRPr="009E0201" w:rsidRDefault="000511F8" w:rsidP="005862E5">
      <w:pPr>
        <w:pStyle w:val="Body"/>
        <w:jc w:val="both"/>
        <w:rPr>
          <w:rFonts w:ascii="Arial" w:hAnsi="Arial" w:cs="Arial"/>
          <w:color w:val="auto"/>
          <w:u w:val="single"/>
        </w:rPr>
      </w:pPr>
      <w:r w:rsidRPr="009E0201">
        <w:rPr>
          <w:rFonts w:ascii="Arial" w:hAnsi="Arial" w:cs="Arial"/>
          <w:color w:val="auto"/>
        </w:rPr>
        <w:t>As our medical plan is self-insured, the County is responsible for all claims.  Reserve funds serve to cover any difference between claims paid, but not covered by the revenues (employee premiums collected &amp; Board contributions). If claims exceed our revenue collections, the difference is paid from our reserves; if revenue exceeds claims, the difference is added to our reserves.  Ideally, a reserve balance of at least 25% of total claims should be maintained. The following table illustrates the changes necessary to meet our target:</w:t>
      </w:r>
    </w:p>
    <w:p w:rsidR="000511F8" w:rsidRPr="009E0201" w:rsidRDefault="000511F8" w:rsidP="000511F8">
      <w:pPr>
        <w:pStyle w:val="Body"/>
        <w:rPr>
          <w:rFonts w:ascii="Arial" w:hAnsi="Arial" w:cs="Arial"/>
          <w:color w:val="auto"/>
        </w:rPr>
      </w:pPr>
    </w:p>
    <w:tbl>
      <w:tblPr>
        <w:tblStyle w:val="TableGrid"/>
        <w:tblW w:w="0" w:type="auto"/>
        <w:tblLook w:val="04A0"/>
      </w:tblPr>
      <w:tblGrid>
        <w:gridCol w:w="3978"/>
        <w:gridCol w:w="2700"/>
        <w:gridCol w:w="2790"/>
      </w:tblGrid>
      <w:tr w:rsidR="000511F8" w:rsidRPr="009E0201" w:rsidTr="00017CF1">
        <w:trPr>
          <w:trHeight w:val="890"/>
        </w:trPr>
        <w:tc>
          <w:tcPr>
            <w:tcW w:w="3978" w:type="dxa"/>
          </w:tcPr>
          <w:p w:rsidR="000511F8" w:rsidRPr="009E0201" w:rsidRDefault="000511F8" w:rsidP="00D7463F">
            <w:pPr>
              <w:rPr>
                <w:rFonts w:ascii="Arial" w:hAnsi="Arial" w:cs="Arial"/>
              </w:rPr>
            </w:pPr>
          </w:p>
        </w:tc>
        <w:tc>
          <w:tcPr>
            <w:tcW w:w="2700" w:type="dxa"/>
          </w:tcPr>
          <w:p w:rsidR="006D4AF3" w:rsidRDefault="000511F8">
            <w:pPr>
              <w:jc w:val="center"/>
              <w:rPr>
                <w:rFonts w:ascii="Arial" w:eastAsia="Calibri" w:hAnsi="Arial" w:cs="Arial"/>
              </w:rPr>
            </w:pPr>
            <w:r w:rsidRPr="009E0201">
              <w:rPr>
                <w:rFonts w:ascii="Arial" w:hAnsi="Arial" w:cs="Arial"/>
              </w:rPr>
              <w:t>Annual Board Premium Increase (percentage)</w:t>
            </w:r>
          </w:p>
        </w:tc>
        <w:tc>
          <w:tcPr>
            <w:tcW w:w="2790" w:type="dxa"/>
          </w:tcPr>
          <w:p w:rsidR="006D4AF3" w:rsidRDefault="000511F8">
            <w:pPr>
              <w:jc w:val="center"/>
              <w:rPr>
                <w:rFonts w:ascii="Arial" w:eastAsia="Calibri" w:hAnsi="Arial" w:cs="Arial"/>
              </w:rPr>
            </w:pPr>
            <w:r w:rsidRPr="009E0201">
              <w:rPr>
                <w:rFonts w:ascii="Arial" w:hAnsi="Arial" w:cs="Arial"/>
              </w:rPr>
              <w:t>Monthly Employee Premium Increase Ranges* (Dollar Amount)</w:t>
            </w:r>
          </w:p>
        </w:tc>
      </w:tr>
      <w:tr w:rsidR="000511F8" w:rsidRPr="009E0201" w:rsidTr="00017CF1">
        <w:tc>
          <w:tcPr>
            <w:tcW w:w="3978" w:type="dxa"/>
          </w:tcPr>
          <w:p w:rsidR="000511F8" w:rsidRPr="009E0201" w:rsidRDefault="000511F8" w:rsidP="00D7463F">
            <w:pPr>
              <w:rPr>
                <w:rFonts w:ascii="Arial" w:hAnsi="Arial" w:cs="Arial"/>
              </w:rPr>
            </w:pPr>
            <w:r w:rsidRPr="009E0201">
              <w:rPr>
                <w:rFonts w:ascii="Arial" w:hAnsi="Arial" w:cs="Arial"/>
              </w:rPr>
              <w:t>No Plan Changes</w:t>
            </w:r>
          </w:p>
        </w:tc>
        <w:tc>
          <w:tcPr>
            <w:tcW w:w="2700" w:type="dxa"/>
          </w:tcPr>
          <w:p w:rsidR="000511F8" w:rsidRPr="00EB0827" w:rsidRDefault="00392F66" w:rsidP="00D7463F">
            <w:pPr>
              <w:rPr>
                <w:rFonts w:ascii="Arial" w:hAnsi="Arial" w:cs="Arial"/>
              </w:rPr>
            </w:pPr>
            <w:r>
              <w:rPr>
                <w:rFonts w:ascii="Arial" w:hAnsi="Arial" w:cs="Arial"/>
              </w:rPr>
              <w:t>21%</w:t>
            </w:r>
          </w:p>
        </w:tc>
        <w:tc>
          <w:tcPr>
            <w:tcW w:w="2790" w:type="dxa"/>
          </w:tcPr>
          <w:p w:rsidR="000511F8" w:rsidRPr="000B57F6" w:rsidRDefault="00392F66" w:rsidP="00D7463F">
            <w:pPr>
              <w:rPr>
                <w:rFonts w:ascii="Arial" w:hAnsi="Arial" w:cs="Arial"/>
                <w:highlight w:val="yellow"/>
              </w:rPr>
            </w:pPr>
            <w:r w:rsidRPr="000B57F6">
              <w:rPr>
                <w:rFonts w:ascii="Arial" w:hAnsi="Arial" w:cs="Arial"/>
                <w:highlight w:val="yellow"/>
              </w:rPr>
              <w:t xml:space="preserve"> TBD</w:t>
            </w:r>
          </w:p>
        </w:tc>
      </w:tr>
      <w:tr w:rsidR="000511F8" w:rsidRPr="009E0201" w:rsidTr="00017CF1">
        <w:tc>
          <w:tcPr>
            <w:tcW w:w="3978" w:type="dxa"/>
          </w:tcPr>
          <w:p w:rsidR="000511F8" w:rsidRPr="009E0201" w:rsidRDefault="000511F8" w:rsidP="00D7463F">
            <w:pPr>
              <w:rPr>
                <w:rFonts w:ascii="Arial" w:hAnsi="Arial" w:cs="Arial"/>
              </w:rPr>
            </w:pPr>
            <w:r w:rsidRPr="009E0201">
              <w:rPr>
                <w:rFonts w:ascii="Arial" w:hAnsi="Arial" w:cs="Arial"/>
              </w:rPr>
              <w:t>Proposed Plan Changes (</w:t>
            </w:r>
            <w:r w:rsidR="00CA734A">
              <w:rPr>
                <w:rFonts w:ascii="Arial" w:hAnsi="Arial" w:cs="Arial"/>
              </w:rPr>
              <w:t>i</w:t>
            </w:r>
            <w:r w:rsidRPr="009E0201">
              <w:rPr>
                <w:rFonts w:ascii="Arial" w:hAnsi="Arial" w:cs="Arial"/>
              </w:rPr>
              <w:t>nc</w:t>
            </w:r>
            <w:r w:rsidR="00CA734A">
              <w:rPr>
                <w:rFonts w:ascii="Arial" w:hAnsi="Arial" w:cs="Arial"/>
              </w:rPr>
              <w:t>reasing the deductible to $500,i</w:t>
            </w:r>
            <w:r w:rsidRPr="009E0201">
              <w:rPr>
                <w:rFonts w:ascii="Arial" w:hAnsi="Arial" w:cs="Arial"/>
              </w:rPr>
              <w:t>n</w:t>
            </w:r>
            <w:r w:rsidR="00CA734A">
              <w:rPr>
                <w:rFonts w:ascii="Arial" w:hAnsi="Arial" w:cs="Arial"/>
              </w:rPr>
              <w:t>creasing doctor visit co-pays, increasing prescription co-pays)</w:t>
            </w:r>
          </w:p>
          <w:p w:rsidR="000511F8" w:rsidRPr="009E0201" w:rsidRDefault="000511F8" w:rsidP="00D7463F">
            <w:pPr>
              <w:rPr>
                <w:rFonts w:ascii="Arial" w:hAnsi="Arial" w:cs="Arial"/>
              </w:rPr>
            </w:pPr>
          </w:p>
        </w:tc>
        <w:tc>
          <w:tcPr>
            <w:tcW w:w="2700" w:type="dxa"/>
          </w:tcPr>
          <w:p w:rsidR="000511F8" w:rsidRPr="009E0201" w:rsidRDefault="000511F8" w:rsidP="00D7463F">
            <w:pPr>
              <w:rPr>
                <w:rFonts w:ascii="Arial" w:hAnsi="Arial" w:cs="Arial"/>
              </w:rPr>
            </w:pPr>
          </w:p>
          <w:p w:rsidR="000511F8" w:rsidRPr="009E0201" w:rsidRDefault="000511F8" w:rsidP="00D7463F">
            <w:pPr>
              <w:rPr>
                <w:rFonts w:ascii="Arial" w:hAnsi="Arial" w:cs="Arial"/>
              </w:rPr>
            </w:pPr>
          </w:p>
          <w:p w:rsidR="000511F8" w:rsidRPr="009E0201" w:rsidRDefault="000511F8" w:rsidP="00D7463F">
            <w:pPr>
              <w:rPr>
                <w:rFonts w:ascii="Arial" w:hAnsi="Arial" w:cs="Arial"/>
              </w:rPr>
            </w:pPr>
          </w:p>
          <w:p w:rsidR="000511F8" w:rsidRPr="009E0201" w:rsidRDefault="000511F8" w:rsidP="00D7463F">
            <w:pPr>
              <w:rPr>
                <w:rFonts w:ascii="Arial" w:hAnsi="Arial" w:cs="Arial"/>
              </w:rPr>
            </w:pPr>
            <w:r w:rsidRPr="009E0201">
              <w:rPr>
                <w:rFonts w:ascii="Arial" w:hAnsi="Arial" w:cs="Arial"/>
              </w:rPr>
              <w:t>16.4%</w:t>
            </w:r>
          </w:p>
        </w:tc>
        <w:tc>
          <w:tcPr>
            <w:tcW w:w="2790" w:type="dxa"/>
          </w:tcPr>
          <w:p w:rsidR="000511F8" w:rsidRPr="000B57F6" w:rsidRDefault="000511F8" w:rsidP="00D7463F">
            <w:pPr>
              <w:rPr>
                <w:rFonts w:ascii="Arial" w:hAnsi="Arial" w:cs="Arial"/>
                <w:highlight w:val="yellow"/>
              </w:rPr>
            </w:pPr>
          </w:p>
          <w:p w:rsidR="000511F8" w:rsidRPr="000B57F6" w:rsidRDefault="000511F8" w:rsidP="00D7463F">
            <w:pPr>
              <w:rPr>
                <w:rFonts w:ascii="Arial" w:hAnsi="Arial" w:cs="Arial"/>
                <w:highlight w:val="yellow"/>
              </w:rPr>
            </w:pPr>
          </w:p>
          <w:p w:rsidR="000511F8" w:rsidRPr="000B57F6" w:rsidRDefault="000511F8" w:rsidP="00D7463F">
            <w:pPr>
              <w:rPr>
                <w:rFonts w:ascii="Arial" w:hAnsi="Arial" w:cs="Arial"/>
                <w:highlight w:val="yellow"/>
              </w:rPr>
            </w:pPr>
          </w:p>
          <w:p w:rsidR="000511F8" w:rsidRPr="000B57F6" w:rsidRDefault="00392F66" w:rsidP="000B57F6">
            <w:pPr>
              <w:rPr>
                <w:rFonts w:ascii="Arial" w:hAnsi="Arial" w:cs="Arial"/>
                <w:highlight w:val="yellow"/>
              </w:rPr>
            </w:pPr>
            <w:r w:rsidRPr="000B57F6">
              <w:rPr>
                <w:rFonts w:ascii="Arial" w:hAnsi="Arial" w:cs="Arial"/>
                <w:highlight w:val="yellow"/>
              </w:rPr>
              <w:t>TBD</w:t>
            </w:r>
          </w:p>
          <w:p w:rsidR="000511F8" w:rsidRPr="000B57F6" w:rsidRDefault="000511F8" w:rsidP="00D7463F">
            <w:pPr>
              <w:rPr>
                <w:rFonts w:ascii="Arial" w:hAnsi="Arial" w:cs="Arial"/>
                <w:highlight w:val="yellow"/>
              </w:rPr>
            </w:pPr>
          </w:p>
        </w:tc>
      </w:tr>
      <w:tr w:rsidR="000511F8" w:rsidRPr="009E0201" w:rsidTr="00017CF1">
        <w:tc>
          <w:tcPr>
            <w:tcW w:w="3978" w:type="dxa"/>
          </w:tcPr>
          <w:p w:rsidR="000511F8" w:rsidRPr="009E0201" w:rsidRDefault="000511F8" w:rsidP="00D7463F">
            <w:pPr>
              <w:rPr>
                <w:rFonts w:ascii="Arial" w:hAnsi="Arial" w:cs="Arial"/>
              </w:rPr>
            </w:pPr>
            <w:r w:rsidRPr="009E0201">
              <w:rPr>
                <w:rFonts w:ascii="Arial" w:hAnsi="Arial" w:cs="Arial"/>
              </w:rPr>
              <w:t>Proposed Plan Changes and Spousal Adjustment</w:t>
            </w:r>
          </w:p>
        </w:tc>
        <w:tc>
          <w:tcPr>
            <w:tcW w:w="2700" w:type="dxa"/>
          </w:tcPr>
          <w:p w:rsidR="000511F8" w:rsidRPr="009E0201" w:rsidRDefault="000511F8" w:rsidP="00D7463F">
            <w:pPr>
              <w:rPr>
                <w:rFonts w:ascii="Arial" w:hAnsi="Arial" w:cs="Arial"/>
              </w:rPr>
            </w:pPr>
          </w:p>
          <w:p w:rsidR="000511F8" w:rsidRPr="009E0201" w:rsidRDefault="000511F8" w:rsidP="00D7463F">
            <w:pPr>
              <w:rPr>
                <w:rFonts w:ascii="Arial" w:hAnsi="Arial" w:cs="Arial"/>
              </w:rPr>
            </w:pPr>
            <w:r w:rsidRPr="009E0201">
              <w:rPr>
                <w:rFonts w:ascii="Arial" w:hAnsi="Arial" w:cs="Arial"/>
              </w:rPr>
              <w:t>9.6%</w:t>
            </w:r>
          </w:p>
        </w:tc>
        <w:tc>
          <w:tcPr>
            <w:tcW w:w="2790" w:type="dxa"/>
          </w:tcPr>
          <w:p w:rsidR="000511F8" w:rsidRPr="000B57F6" w:rsidRDefault="000511F8" w:rsidP="00D7463F">
            <w:pPr>
              <w:rPr>
                <w:rFonts w:ascii="Arial" w:hAnsi="Arial" w:cs="Arial"/>
                <w:highlight w:val="yellow"/>
              </w:rPr>
            </w:pPr>
          </w:p>
          <w:p w:rsidR="000511F8" w:rsidRPr="000B57F6" w:rsidRDefault="00392F66" w:rsidP="00D7463F">
            <w:pPr>
              <w:rPr>
                <w:rFonts w:ascii="Arial" w:hAnsi="Arial" w:cs="Arial"/>
                <w:highlight w:val="yellow"/>
              </w:rPr>
            </w:pPr>
            <w:r w:rsidRPr="000B57F6">
              <w:rPr>
                <w:rFonts w:ascii="Arial" w:hAnsi="Arial" w:cs="Arial"/>
                <w:highlight w:val="yellow"/>
              </w:rPr>
              <w:t>TBD</w:t>
            </w:r>
          </w:p>
        </w:tc>
      </w:tr>
    </w:tbl>
    <w:p w:rsidR="00F5644A" w:rsidRPr="00573524" w:rsidRDefault="00392F66" w:rsidP="00242AC6">
      <w:pPr>
        <w:spacing w:line="240" w:lineRule="auto"/>
        <w:rPr>
          <w:rFonts w:ascii="Arial" w:hAnsi="Arial" w:cs="Arial"/>
          <w:b/>
          <w:u w:val="single"/>
        </w:rPr>
      </w:pPr>
      <w:r w:rsidRPr="00392F66">
        <w:rPr>
          <w:rFonts w:ascii="Arial" w:hAnsi="Arial" w:cs="Arial"/>
        </w:rPr>
        <w:t>*Based on reallocated rates</w:t>
      </w:r>
    </w:p>
    <w:p w:rsidR="00242AC6" w:rsidRPr="00CD517D" w:rsidRDefault="00242AC6" w:rsidP="00242AC6">
      <w:pPr>
        <w:spacing w:line="240" w:lineRule="auto"/>
        <w:rPr>
          <w:rFonts w:ascii="Arial" w:hAnsi="Arial" w:cs="Arial"/>
          <w:b/>
          <w:u w:val="single"/>
        </w:rPr>
      </w:pPr>
      <w:r>
        <w:rPr>
          <w:rFonts w:ascii="Arial" w:hAnsi="Arial" w:cs="Arial"/>
          <w:b/>
          <w:u w:val="single"/>
        </w:rPr>
        <w:t>FY 14-15</w:t>
      </w:r>
      <w:r w:rsidRPr="00CD517D">
        <w:rPr>
          <w:rFonts w:ascii="Arial" w:hAnsi="Arial" w:cs="Arial"/>
          <w:b/>
          <w:u w:val="single"/>
        </w:rPr>
        <w:t xml:space="preserve"> Dental Plan</w:t>
      </w:r>
    </w:p>
    <w:p w:rsidR="00617420" w:rsidRPr="009E0201" w:rsidRDefault="00CA734A" w:rsidP="005862E5">
      <w:pPr>
        <w:jc w:val="both"/>
        <w:rPr>
          <w:rFonts w:ascii="Arial" w:hAnsi="Arial" w:cs="Arial"/>
        </w:rPr>
      </w:pPr>
      <w:r>
        <w:rPr>
          <w:rFonts w:ascii="Arial" w:hAnsi="Arial" w:cs="Arial"/>
        </w:rPr>
        <w:t>We offer t</w:t>
      </w:r>
      <w:r w:rsidR="00242AC6" w:rsidRPr="00CD517D">
        <w:rPr>
          <w:rFonts w:ascii="Arial" w:hAnsi="Arial" w:cs="Arial"/>
        </w:rPr>
        <w:t>wo pl</w:t>
      </w:r>
      <w:r>
        <w:rPr>
          <w:rFonts w:ascii="Arial" w:hAnsi="Arial" w:cs="Arial"/>
        </w:rPr>
        <w:t>ans (Basic and High) are</w:t>
      </w:r>
      <w:r w:rsidR="00242AC6" w:rsidRPr="00CD517D">
        <w:rPr>
          <w:rFonts w:ascii="Arial" w:hAnsi="Arial" w:cs="Arial"/>
        </w:rPr>
        <w:t xml:space="preserve"> through United Concordia. As our dental reserve balance was favorably above the target, a dental premium holiday was given from </w:t>
      </w:r>
      <w:r w:rsidR="00242AC6">
        <w:rPr>
          <w:rFonts w:ascii="Arial" w:hAnsi="Arial" w:cs="Arial"/>
        </w:rPr>
        <w:t>February 2014 until September 2014</w:t>
      </w:r>
      <w:r w:rsidR="00242AC6" w:rsidRPr="00CD517D">
        <w:rPr>
          <w:rFonts w:ascii="Arial" w:hAnsi="Arial" w:cs="Arial"/>
        </w:rPr>
        <w:t xml:space="preserve"> for all dental enrollees for this period</w:t>
      </w:r>
      <w:r w:rsidR="000B57F6">
        <w:rPr>
          <w:rFonts w:ascii="Arial" w:hAnsi="Arial" w:cs="Arial"/>
        </w:rPr>
        <w:t>.</w:t>
      </w:r>
    </w:p>
    <w:p w:rsidR="00242AC6" w:rsidRPr="00242AC6" w:rsidRDefault="00242AC6" w:rsidP="00242AC6">
      <w:pPr>
        <w:pStyle w:val="Default"/>
        <w:rPr>
          <w:sz w:val="22"/>
          <w:szCs w:val="22"/>
          <w:u w:val="single"/>
        </w:rPr>
      </w:pPr>
      <w:r w:rsidRPr="00242AC6">
        <w:rPr>
          <w:b/>
          <w:bCs/>
          <w:sz w:val="22"/>
          <w:szCs w:val="22"/>
          <w:u w:val="single"/>
        </w:rPr>
        <w:t xml:space="preserve">FY15-16 Dental Plan Year </w:t>
      </w:r>
    </w:p>
    <w:p w:rsidR="00CD517D" w:rsidRDefault="00392F66" w:rsidP="00242AC6">
      <w:pPr>
        <w:spacing w:line="240" w:lineRule="auto"/>
        <w:rPr>
          <w:rFonts w:ascii="Arial" w:hAnsi="Arial" w:cs="Arial"/>
        </w:rPr>
      </w:pPr>
      <w:r w:rsidRPr="00392F66">
        <w:rPr>
          <w:rFonts w:ascii="Arial" w:hAnsi="Arial" w:cs="Arial"/>
        </w:rPr>
        <w:t>Continue to offer two plans with no coverage changes and decrease current premiums by 5%.</w:t>
      </w:r>
    </w:p>
    <w:p w:rsidR="006D4AF3" w:rsidRDefault="006D4AF3">
      <w:pPr>
        <w:rPr>
          <w:rFonts w:ascii="Arial" w:hAnsi="Arial" w:cs="Arial"/>
          <w:b/>
          <w:u w:val="single"/>
        </w:rPr>
      </w:pPr>
    </w:p>
    <w:p w:rsidR="006D4AF3" w:rsidRDefault="006D4AF3">
      <w:pPr>
        <w:rPr>
          <w:rFonts w:ascii="Arial" w:hAnsi="Arial" w:cs="Arial"/>
          <w:b/>
          <w:u w:val="single"/>
        </w:rPr>
      </w:pPr>
    </w:p>
    <w:p w:rsidR="00242AC6" w:rsidRDefault="00242AC6" w:rsidP="00B71159">
      <w:pPr>
        <w:spacing w:line="240" w:lineRule="auto"/>
        <w:rPr>
          <w:rFonts w:ascii="Arial" w:hAnsi="Arial" w:cs="Arial"/>
          <w:b/>
          <w:u w:val="single"/>
        </w:rPr>
      </w:pPr>
    </w:p>
    <w:p w:rsidR="00737D35" w:rsidRDefault="00737D35" w:rsidP="00B71159">
      <w:pPr>
        <w:spacing w:line="240" w:lineRule="auto"/>
        <w:rPr>
          <w:rFonts w:ascii="Arial" w:hAnsi="Arial" w:cs="Arial"/>
          <w:b/>
          <w:u w:val="single"/>
        </w:rPr>
      </w:pPr>
    </w:p>
    <w:p w:rsidR="00CA12C6" w:rsidRDefault="00CA12C6">
      <w:pPr>
        <w:spacing w:after="0" w:line="240" w:lineRule="auto"/>
        <w:rPr>
          <w:rFonts w:ascii="Arial" w:hAnsi="Arial" w:cs="Arial"/>
          <w:b/>
          <w:u w:val="single"/>
        </w:rPr>
      </w:pPr>
      <w:r>
        <w:rPr>
          <w:rFonts w:ascii="Arial" w:hAnsi="Arial" w:cs="Arial"/>
          <w:b/>
          <w:u w:val="single"/>
        </w:rPr>
        <w:br w:type="page"/>
      </w:r>
    </w:p>
    <w:p w:rsidR="00CD517D" w:rsidRPr="00CD517D" w:rsidRDefault="00CD517D" w:rsidP="00B71159">
      <w:pPr>
        <w:spacing w:line="240" w:lineRule="auto"/>
        <w:rPr>
          <w:rFonts w:ascii="Arial" w:hAnsi="Arial" w:cs="Arial"/>
          <w:u w:val="single"/>
        </w:rPr>
      </w:pPr>
      <w:r w:rsidRPr="00CD517D">
        <w:rPr>
          <w:rFonts w:ascii="Arial" w:hAnsi="Arial" w:cs="Arial"/>
          <w:b/>
          <w:u w:val="single"/>
        </w:rPr>
        <w:t>Virginia Retirement System</w:t>
      </w:r>
      <w:r w:rsidR="00E02D1D">
        <w:rPr>
          <w:rFonts w:ascii="Arial" w:hAnsi="Arial" w:cs="Arial"/>
          <w:b/>
          <w:u w:val="single"/>
        </w:rPr>
        <w:t>:</w:t>
      </w:r>
      <w:r w:rsidRPr="00CD517D">
        <w:rPr>
          <w:rFonts w:ascii="Arial" w:hAnsi="Arial" w:cs="Arial"/>
          <w:b/>
          <w:u w:val="single"/>
        </w:rPr>
        <w:t xml:space="preserve"> </w:t>
      </w:r>
    </w:p>
    <w:p w:rsidR="00CD517D" w:rsidRPr="00CD517D" w:rsidRDefault="00CD517D" w:rsidP="005862E5">
      <w:pPr>
        <w:spacing w:line="240" w:lineRule="auto"/>
        <w:jc w:val="both"/>
        <w:rPr>
          <w:rFonts w:ascii="Arial" w:hAnsi="Arial" w:cs="Arial"/>
        </w:rPr>
      </w:pPr>
      <w:r w:rsidRPr="00CD517D">
        <w:rPr>
          <w:rFonts w:ascii="Arial" w:hAnsi="Arial" w:cs="Arial"/>
        </w:rPr>
        <w:t>On April 18, 2012, the General Assembly a</w:t>
      </w:r>
      <w:r w:rsidR="00CA734A">
        <w:rPr>
          <w:rFonts w:ascii="Arial" w:hAnsi="Arial" w:cs="Arial"/>
        </w:rPr>
        <w:t xml:space="preserve">pproved a variety of changes in </w:t>
      </w:r>
      <w:r w:rsidRPr="00CD517D">
        <w:rPr>
          <w:rFonts w:ascii="Arial" w:hAnsi="Arial" w:cs="Arial"/>
        </w:rPr>
        <w:t>reform</w:t>
      </w:r>
      <w:r w:rsidR="00CA734A">
        <w:rPr>
          <w:rFonts w:ascii="Arial" w:hAnsi="Arial" w:cs="Arial"/>
        </w:rPr>
        <w:t xml:space="preserve"> of</w:t>
      </w:r>
      <w:r w:rsidRPr="00CD517D">
        <w:rPr>
          <w:rFonts w:ascii="Arial" w:hAnsi="Arial" w:cs="Arial"/>
        </w:rPr>
        <w:t xml:space="preserve"> the retirement plan administered by the Virginia Retir</w:t>
      </w:r>
      <w:r w:rsidR="00CA734A">
        <w:rPr>
          <w:rFonts w:ascii="Arial" w:hAnsi="Arial" w:cs="Arial"/>
        </w:rPr>
        <w:t xml:space="preserve">ement System (VRS). The </w:t>
      </w:r>
      <w:r w:rsidRPr="00CD517D">
        <w:rPr>
          <w:rFonts w:ascii="Arial" w:hAnsi="Arial" w:cs="Arial"/>
        </w:rPr>
        <w:t xml:space="preserve">Assembly passed bills establishing a new hybrid retirement plan for state and local employees who are hired on or after January 1, 2014 (HB 1130 and SB 498), as well as a companion bill (SB 497) which requires local governments’ and school divisions’ current employees to pay a 5% </w:t>
      </w:r>
      <w:r w:rsidR="00CA734A">
        <w:rPr>
          <w:rFonts w:ascii="Arial" w:hAnsi="Arial" w:cs="Arial"/>
        </w:rPr>
        <w:t xml:space="preserve">member </w:t>
      </w:r>
      <w:r w:rsidRPr="00CD517D">
        <w:rPr>
          <w:rFonts w:ascii="Arial" w:hAnsi="Arial" w:cs="Arial"/>
        </w:rPr>
        <w:t>contribution to VRS by no later than July 1, 2016 and for local governments and school divisions to provide employees with a salary increase to offset the cost of the employees’ VRS contribution (the “5 and 5 Requirement”). Both the School Board and the Board of Supervisors approved the whole “5 and 5 Requirement” in FY13, and the majority of localities and schools in our adopted market (69%) have now</w:t>
      </w:r>
      <w:r w:rsidR="00CA734A">
        <w:rPr>
          <w:rFonts w:ascii="Arial" w:hAnsi="Arial" w:cs="Arial"/>
        </w:rPr>
        <w:t xml:space="preserve">, </w:t>
      </w:r>
      <w:r w:rsidRPr="00CD517D">
        <w:rPr>
          <w:rFonts w:ascii="Arial" w:hAnsi="Arial" w:cs="Arial"/>
        </w:rPr>
        <w:t>as well.</w:t>
      </w:r>
    </w:p>
    <w:p w:rsidR="006D4AF3" w:rsidRDefault="00B44243">
      <w:pPr>
        <w:pStyle w:val="Body"/>
        <w:spacing w:line="240" w:lineRule="auto"/>
        <w:jc w:val="both"/>
        <w:rPr>
          <w:rFonts w:ascii="Arial" w:hAnsi="Arial" w:cs="Arial"/>
        </w:rPr>
      </w:pPr>
      <w:r w:rsidRPr="004B5A1D">
        <w:rPr>
          <w:rFonts w:ascii="Arial" w:hAnsi="Arial" w:cs="Arial"/>
          <w:b/>
          <w:bCs/>
          <w:lang w:val="fr-FR"/>
        </w:rPr>
        <w:t>Virginia Local</w:t>
      </w:r>
      <w:r w:rsidR="00960E1F">
        <w:rPr>
          <w:rFonts w:ascii="Arial" w:hAnsi="Arial" w:cs="Arial"/>
          <w:b/>
          <w:bCs/>
          <w:lang w:val="fr-FR"/>
        </w:rPr>
        <w:t xml:space="preserve"> </w:t>
      </w:r>
      <w:r w:rsidRPr="004B5A1D">
        <w:rPr>
          <w:rFonts w:ascii="Arial" w:hAnsi="Arial" w:cs="Arial"/>
          <w:b/>
          <w:bCs/>
          <w:lang w:val="fr-FR"/>
        </w:rPr>
        <w:t>Disability Plan Considerations</w:t>
      </w:r>
      <w:r w:rsidR="00737D35">
        <w:rPr>
          <w:rFonts w:ascii="Arial" w:hAnsi="Arial" w:cs="Arial"/>
          <w:b/>
          <w:bCs/>
          <w:lang w:val="fr-FR"/>
        </w:rPr>
        <w:t xml:space="preserve"> : </w:t>
      </w:r>
      <w:r w:rsidR="00392F66" w:rsidRPr="00392F66">
        <w:rPr>
          <w:rFonts w:ascii="Arial" w:hAnsi="Arial" w:cs="Arial"/>
          <w:color w:val="auto"/>
          <w:bdr w:val="none" w:sz="0" w:space="0" w:color="auto"/>
        </w:rPr>
        <w:t>Effective January 1, 2014, VRS implemented a mandated “</w:t>
      </w:r>
      <w:r w:rsidR="00586361">
        <w:rPr>
          <w:rFonts w:ascii="Arial" w:hAnsi="Arial" w:cs="Arial"/>
          <w:color w:val="auto"/>
          <w:bdr w:val="none" w:sz="0" w:space="0" w:color="auto"/>
        </w:rPr>
        <w:t>H</w:t>
      </w:r>
      <w:r w:rsidR="00392F66" w:rsidRPr="00392F66">
        <w:rPr>
          <w:rFonts w:ascii="Arial" w:hAnsi="Arial" w:cs="Arial"/>
          <w:color w:val="auto"/>
          <w:bdr w:val="none" w:sz="0" w:space="0" w:color="auto"/>
        </w:rPr>
        <w:t xml:space="preserve">ybrid </w:t>
      </w:r>
      <w:r w:rsidR="00586361">
        <w:rPr>
          <w:rFonts w:ascii="Arial" w:hAnsi="Arial" w:cs="Arial"/>
          <w:color w:val="auto"/>
          <w:bdr w:val="none" w:sz="0" w:space="0" w:color="auto"/>
        </w:rPr>
        <w:t>P</w:t>
      </w:r>
      <w:r w:rsidR="00392F66" w:rsidRPr="00392F66">
        <w:rPr>
          <w:rFonts w:ascii="Arial" w:hAnsi="Arial" w:cs="Arial"/>
          <w:color w:val="auto"/>
          <w:bdr w:val="none" w:sz="0" w:space="0" w:color="auto"/>
        </w:rPr>
        <w:t>lan” for all full-time new hires without active prior VRS service (note: hazardous duty members may not be in the hybrid plan). Th</w:t>
      </w:r>
      <w:r w:rsidR="00586361">
        <w:rPr>
          <w:rFonts w:ascii="Arial" w:hAnsi="Arial" w:cs="Arial"/>
          <w:color w:val="auto"/>
          <w:bdr w:val="none" w:sz="0" w:space="0" w:color="auto"/>
        </w:rPr>
        <w:t>e H</w:t>
      </w:r>
      <w:r w:rsidR="00392F66" w:rsidRPr="00392F66">
        <w:rPr>
          <w:rFonts w:ascii="Arial" w:hAnsi="Arial" w:cs="Arial"/>
          <w:color w:val="auto"/>
          <w:bdr w:val="none" w:sz="0" w:space="0" w:color="auto"/>
        </w:rPr>
        <w:t xml:space="preserve">ybrid </w:t>
      </w:r>
      <w:r w:rsidR="00586361">
        <w:rPr>
          <w:rFonts w:ascii="Arial" w:hAnsi="Arial" w:cs="Arial"/>
          <w:color w:val="auto"/>
          <w:bdr w:val="none" w:sz="0" w:space="0" w:color="auto"/>
        </w:rPr>
        <w:t>P</w:t>
      </w:r>
      <w:r w:rsidR="00392F66" w:rsidRPr="00392F66">
        <w:rPr>
          <w:rFonts w:ascii="Arial" w:hAnsi="Arial" w:cs="Arial"/>
          <w:color w:val="auto"/>
          <w:bdr w:val="none" w:sz="0" w:space="0" w:color="auto"/>
        </w:rPr>
        <w:t xml:space="preserve">lan is a combination of a defined benefit plan (which VRS Plan 1 and Plan 2 members currently participate in) and a defined contribution plan. Also, unlike the current VRS Plan 1 and Plan 2, the </w:t>
      </w:r>
      <w:r w:rsidR="00586361">
        <w:rPr>
          <w:rFonts w:ascii="Arial" w:hAnsi="Arial" w:cs="Arial"/>
          <w:color w:val="auto"/>
          <w:bdr w:val="none" w:sz="0" w:space="0" w:color="auto"/>
        </w:rPr>
        <w:t>H</w:t>
      </w:r>
      <w:r w:rsidR="00392F66" w:rsidRPr="00392F66">
        <w:rPr>
          <w:rFonts w:ascii="Arial" w:hAnsi="Arial" w:cs="Arial"/>
          <w:color w:val="auto"/>
          <w:bdr w:val="none" w:sz="0" w:space="0" w:color="auto"/>
        </w:rPr>
        <w:t xml:space="preserve">ybrid </w:t>
      </w:r>
      <w:r w:rsidR="00586361">
        <w:rPr>
          <w:rFonts w:ascii="Arial" w:hAnsi="Arial" w:cs="Arial"/>
          <w:color w:val="auto"/>
          <w:bdr w:val="none" w:sz="0" w:space="0" w:color="auto"/>
        </w:rPr>
        <w:t>P</w:t>
      </w:r>
      <w:r w:rsidR="00392F66" w:rsidRPr="00392F66">
        <w:rPr>
          <w:rFonts w:ascii="Arial" w:hAnsi="Arial" w:cs="Arial"/>
          <w:color w:val="auto"/>
          <w:bdr w:val="none" w:sz="0" w:space="0" w:color="auto"/>
        </w:rPr>
        <w:t xml:space="preserve">lan does not offer a disability retirement benefit. </w:t>
      </w:r>
    </w:p>
    <w:p w:rsidR="006D4AF3" w:rsidRDefault="00B44243">
      <w:pPr>
        <w:pStyle w:val="Body"/>
        <w:spacing w:after="120" w:line="240" w:lineRule="auto"/>
        <w:jc w:val="both"/>
        <w:rPr>
          <w:rFonts w:ascii="Arial" w:hAnsi="Arial" w:cs="Arial"/>
        </w:rPr>
      </w:pPr>
      <w:r w:rsidRPr="004B5A1D">
        <w:rPr>
          <w:rFonts w:ascii="Arial" w:hAnsi="Arial" w:cs="Arial"/>
        </w:rPr>
        <w:t xml:space="preserve">The Hybrid </w:t>
      </w:r>
      <w:r>
        <w:rPr>
          <w:rFonts w:ascii="Arial" w:hAnsi="Arial" w:cs="Arial"/>
        </w:rPr>
        <w:t xml:space="preserve">Plan </w:t>
      </w:r>
      <w:r w:rsidRPr="004B5A1D">
        <w:rPr>
          <w:rFonts w:ascii="Arial" w:hAnsi="Arial" w:cs="Arial"/>
        </w:rPr>
        <w:t>and the state-mandated leave benefits associated with the Hybrid Plan’s short-term and long-term disability coverage</w:t>
      </w:r>
      <w:r w:rsidR="002E16A3">
        <w:rPr>
          <w:rFonts w:ascii="Arial" w:hAnsi="Arial" w:cs="Arial"/>
        </w:rPr>
        <w:t>,</w:t>
      </w:r>
      <w:r w:rsidR="009842D1">
        <w:rPr>
          <w:rFonts w:ascii="Arial" w:hAnsi="Arial" w:cs="Arial"/>
        </w:rPr>
        <w:t xml:space="preserve"> </w:t>
      </w:r>
      <w:r w:rsidRPr="004B5A1D">
        <w:rPr>
          <w:rFonts w:ascii="Arial" w:hAnsi="Arial" w:cs="Arial"/>
        </w:rPr>
        <w:t xml:space="preserve">Virginia Local Disability Plan </w:t>
      </w:r>
      <w:r w:rsidR="002E16A3">
        <w:rPr>
          <w:rFonts w:ascii="Arial" w:hAnsi="Arial" w:cs="Arial"/>
        </w:rPr>
        <w:t>(</w:t>
      </w:r>
      <w:r w:rsidRPr="004B5A1D">
        <w:rPr>
          <w:rFonts w:ascii="Arial" w:hAnsi="Arial" w:cs="Arial"/>
        </w:rPr>
        <w:t>VLDP</w:t>
      </w:r>
      <w:r w:rsidR="002E16A3">
        <w:rPr>
          <w:rFonts w:ascii="Arial" w:hAnsi="Arial" w:cs="Arial"/>
        </w:rPr>
        <w:t>)</w:t>
      </w:r>
      <w:r w:rsidRPr="004B5A1D">
        <w:rPr>
          <w:rFonts w:ascii="Arial" w:hAnsi="Arial" w:cs="Arial"/>
        </w:rPr>
        <w:t>), has created a separate set of employee leave benefits associated solely with membership in the Hybrid Plan. In order to assess the impact of these state-mandated benefits for one set of employees on the County’s current leave policies and practices, and to seek solutions as to how the County can best manage the coming changes, staff worked with KSPH to address the goals of:</w:t>
      </w:r>
    </w:p>
    <w:p w:rsidR="00B44243" w:rsidRPr="004B5A1D" w:rsidRDefault="00B44243" w:rsidP="00B44243">
      <w:pPr>
        <w:pStyle w:val="Body"/>
        <w:numPr>
          <w:ilvl w:val="0"/>
          <w:numId w:val="6"/>
        </w:numPr>
        <w:spacing w:after="120" w:line="240" w:lineRule="auto"/>
        <w:ind w:left="360" w:hanging="360"/>
        <w:rPr>
          <w:rFonts w:ascii="Arial" w:hAnsi="Arial" w:cs="Arial"/>
        </w:rPr>
      </w:pPr>
      <w:r w:rsidRPr="004B5A1D">
        <w:rPr>
          <w:rFonts w:ascii="Arial" w:hAnsi="Arial" w:cs="Arial"/>
        </w:rPr>
        <w:t xml:space="preserve">Providing adequate sick leave for </w:t>
      </w:r>
      <w:r w:rsidRPr="004B5A1D">
        <w:rPr>
          <w:rFonts w:ascii="Arial" w:hAnsi="Arial" w:cs="Arial"/>
          <w:lang w:val="sv-SE"/>
        </w:rPr>
        <w:t xml:space="preserve">all </w:t>
      </w:r>
      <w:r w:rsidRPr="004B5A1D">
        <w:rPr>
          <w:rFonts w:ascii="Arial" w:hAnsi="Arial" w:cs="Arial"/>
        </w:rPr>
        <w:t xml:space="preserve">employees, regardless of VRS status </w:t>
      </w:r>
    </w:p>
    <w:p w:rsidR="00B44243" w:rsidRPr="004B5A1D" w:rsidRDefault="00B44243" w:rsidP="00B44243">
      <w:pPr>
        <w:pStyle w:val="Body"/>
        <w:numPr>
          <w:ilvl w:val="0"/>
          <w:numId w:val="7"/>
        </w:numPr>
        <w:spacing w:after="120" w:line="240" w:lineRule="auto"/>
        <w:ind w:left="360" w:hanging="360"/>
        <w:rPr>
          <w:rFonts w:ascii="Arial" w:hAnsi="Arial" w:cs="Arial"/>
        </w:rPr>
      </w:pPr>
      <w:r w:rsidRPr="004B5A1D">
        <w:rPr>
          <w:rFonts w:ascii="Arial" w:hAnsi="Arial" w:cs="Arial"/>
        </w:rPr>
        <w:t xml:space="preserve">Creating/maintaining one leave program that is simple to explain and administer </w:t>
      </w:r>
    </w:p>
    <w:p w:rsidR="00B44243" w:rsidRPr="004B5A1D" w:rsidRDefault="00B44243" w:rsidP="00B44243">
      <w:pPr>
        <w:pStyle w:val="Body"/>
        <w:numPr>
          <w:ilvl w:val="0"/>
          <w:numId w:val="8"/>
        </w:numPr>
        <w:spacing w:after="120" w:line="240" w:lineRule="auto"/>
        <w:ind w:left="360" w:hanging="360"/>
        <w:rPr>
          <w:rFonts w:ascii="Arial" w:hAnsi="Arial" w:cs="Arial"/>
        </w:rPr>
      </w:pPr>
      <w:r w:rsidRPr="004B5A1D">
        <w:rPr>
          <w:rFonts w:ascii="Arial" w:hAnsi="Arial" w:cs="Arial"/>
        </w:rPr>
        <w:t>Providing benefits that are consistent with the County’s</w:t>
      </w:r>
      <w:r w:rsidRPr="004B5A1D">
        <w:rPr>
          <w:rFonts w:ascii="Arial" w:hAnsi="Arial" w:cs="Arial"/>
          <w:lang w:val="fr-FR"/>
        </w:rPr>
        <w:t xml:space="preserve"> </w:t>
      </w:r>
      <w:r w:rsidRPr="004B5A1D">
        <w:rPr>
          <w:rFonts w:ascii="Arial" w:hAnsi="Arial" w:cs="Arial"/>
          <w:lang w:val="de-DE"/>
        </w:rPr>
        <w:t xml:space="preserve">total compensation strategies </w:t>
      </w:r>
    </w:p>
    <w:p w:rsidR="00B44243" w:rsidRPr="004B5A1D" w:rsidRDefault="00B44243" w:rsidP="00B44243">
      <w:pPr>
        <w:pStyle w:val="Body"/>
        <w:spacing w:after="0" w:line="240" w:lineRule="auto"/>
        <w:rPr>
          <w:rFonts w:ascii="Arial" w:hAnsi="Arial" w:cs="Arial"/>
        </w:rPr>
      </w:pPr>
    </w:p>
    <w:p w:rsidR="00B44243" w:rsidRPr="004B5A1D" w:rsidRDefault="00B44243" w:rsidP="00B44243">
      <w:pPr>
        <w:pStyle w:val="ListParagraph"/>
        <w:spacing w:after="120" w:line="240" w:lineRule="auto"/>
        <w:ind w:left="0"/>
        <w:rPr>
          <w:rFonts w:ascii="Arial" w:hAnsi="Arial" w:cs="Arial"/>
          <w:b/>
          <w:bCs/>
        </w:rPr>
      </w:pPr>
      <w:r w:rsidRPr="004B5A1D">
        <w:rPr>
          <w:rFonts w:ascii="Arial" w:hAnsi="Arial" w:cs="Arial"/>
          <w:b/>
          <w:bCs/>
        </w:rPr>
        <w:t>Background</w:t>
      </w:r>
      <w:r w:rsidR="00E02D1D">
        <w:rPr>
          <w:rFonts w:ascii="Arial" w:hAnsi="Arial" w:cs="Arial"/>
          <w:b/>
          <w:bCs/>
        </w:rPr>
        <w:t>:</w:t>
      </w:r>
    </w:p>
    <w:p w:rsidR="00B44243" w:rsidRPr="004B5A1D" w:rsidRDefault="00B44243" w:rsidP="005862E5">
      <w:pPr>
        <w:pStyle w:val="ListParagraph"/>
        <w:spacing w:after="160" w:line="240" w:lineRule="auto"/>
        <w:ind w:left="0"/>
        <w:jc w:val="both"/>
        <w:rPr>
          <w:rFonts w:ascii="Arial" w:hAnsi="Arial" w:cs="Arial"/>
        </w:rPr>
      </w:pPr>
      <w:r w:rsidRPr="004B5A1D">
        <w:rPr>
          <w:rFonts w:ascii="Arial" w:hAnsi="Arial" w:cs="Arial"/>
        </w:rPr>
        <w:t xml:space="preserve">Significant effort was expended to engage all employee groups regarding leave issues associated with the advent of the Hybrid Plan. Focus groups and departmental meetings sought feedback on possible changes and allowed for valuable interaction with Human Resource staff. Over 700 employees were addressed in approximately 10 focus group meetings or </w:t>
      </w:r>
      <w:r w:rsidR="002E16A3" w:rsidRPr="004B5A1D">
        <w:rPr>
          <w:rFonts w:ascii="Arial" w:hAnsi="Arial" w:cs="Arial"/>
        </w:rPr>
        <w:t>in</w:t>
      </w:r>
      <w:r w:rsidR="002E16A3">
        <w:rPr>
          <w:rFonts w:ascii="Arial" w:hAnsi="Arial" w:cs="Arial"/>
        </w:rPr>
        <w:t>-</w:t>
      </w:r>
      <w:r w:rsidRPr="004B5A1D">
        <w:rPr>
          <w:rFonts w:ascii="Arial" w:hAnsi="Arial" w:cs="Arial"/>
        </w:rPr>
        <w:t xml:space="preserve">person for Local Government and the School Division, and over 1200 teachers and 400 Local Government employees were sent a </w:t>
      </w:r>
      <w:r w:rsidR="002E16A3" w:rsidRPr="004B5A1D">
        <w:rPr>
          <w:rFonts w:ascii="Arial" w:hAnsi="Arial" w:cs="Arial"/>
        </w:rPr>
        <w:t>custom</w:t>
      </w:r>
      <w:r w:rsidR="002E16A3">
        <w:rPr>
          <w:rFonts w:ascii="Arial" w:hAnsi="Arial" w:cs="Arial"/>
        </w:rPr>
        <w:t>-</w:t>
      </w:r>
      <w:r w:rsidRPr="004B5A1D">
        <w:rPr>
          <w:rFonts w:ascii="Arial" w:hAnsi="Arial" w:cs="Arial"/>
        </w:rPr>
        <w:t>made video and survey by email</w:t>
      </w:r>
      <w:r w:rsidR="00CA734A">
        <w:rPr>
          <w:rFonts w:ascii="Arial" w:hAnsi="Arial" w:cs="Arial"/>
        </w:rPr>
        <w:t xml:space="preserve">; additionally, </w:t>
      </w:r>
      <w:r w:rsidRPr="004B5A1D">
        <w:rPr>
          <w:rFonts w:ascii="Arial" w:hAnsi="Arial" w:cs="Arial"/>
        </w:rPr>
        <w:t>the information was posted on the School Division’s news blog. Feedback from non-Hybrid employees was mixed on how to transition to a VLDP-like plan, particularly when discussing the option of capping sick leave balances (vs. employees’ current ability to accrue sick leave without caps). The ability to keep at least a portion of their accrued sick leave</w:t>
      </w:r>
      <w:r w:rsidR="00AE5F71">
        <w:rPr>
          <w:rFonts w:ascii="Arial" w:hAnsi="Arial" w:cs="Arial"/>
        </w:rPr>
        <w:t xml:space="preserve"> </w:t>
      </w:r>
      <w:r w:rsidR="00BB599D">
        <w:rPr>
          <w:rFonts w:ascii="Arial" w:hAnsi="Arial" w:cs="Arial"/>
        </w:rPr>
        <w:t>was a</w:t>
      </w:r>
      <w:r w:rsidR="00BB599D" w:rsidRPr="004B5A1D">
        <w:rPr>
          <w:rFonts w:ascii="Arial" w:hAnsi="Arial" w:cs="Arial"/>
        </w:rPr>
        <w:t xml:space="preserve"> </w:t>
      </w:r>
      <w:r w:rsidRPr="004B5A1D">
        <w:rPr>
          <w:rFonts w:ascii="Arial" w:hAnsi="Arial" w:cs="Arial"/>
        </w:rPr>
        <w:t>major concern</w:t>
      </w:r>
      <w:r w:rsidR="00CA734A">
        <w:rPr>
          <w:rFonts w:ascii="Arial" w:hAnsi="Arial" w:cs="Arial"/>
        </w:rPr>
        <w:t xml:space="preserve">, </w:t>
      </w:r>
      <w:r w:rsidRPr="004B5A1D">
        <w:rPr>
          <w:rFonts w:ascii="Arial" w:hAnsi="Arial" w:cs="Arial"/>
        </w:rPr>
        <w:t xml:space="preserve">since a VLDP-like plan would only cover individual employees (i.e., not for use in family leave situations). Most employees, however, were positive regarding the VLDP-like plan design once they understood its benefits. </w:t>
      </w:r>
      <w:r w:rsidR="00CA734A">
        <w:rPr>
          <w:rFonts w:ascii="Arial" w:hAnsi="Arial" w:cs="Arial"/>
        </w:rPr>
        <w:t xml:space="preserve"> Further</w:t>
      </w:r>
      <w:r w:rsidRPr="004B5A1D">
        <w:rPr>
          <w:rFonts w:ascii="Arial" w:hAnsi="Arial" w:cs="Arial"/>
        </w:rPr>
        <w:t>,</w:t>
      </w:r>
      <w:r w:rsidR="00CA734A">
        <w:rPr>
          <w:rFonts w:ascii="Arial" w:hAnsi="Arial" w:cs="Arial"/>
        </w:rPr>
        <w:t xml:space="preserve"> </w:t>
      </w:r>
      <w:r w:rsidRPr="004B5A1D">
        <w:rPr>
          <w:rFonts w:ascii="Arial" w:hAnsi="Arial" w:cs="Arial"/>
        </w:rPr>
        <w:t xml:space="preserve">market data for the County’s adopted market was analyzed. There is no clear market trend; however, many localities are currently evaluating this issue.   </w:t>
      </w:r>
    </w:p>
    <w:p w:rsidR="00B44243" w:rsidRDefault="00B44243" w:rsidP="00B44243">
      <w:pPr>
        <w:pStyle w:val="ListParagraph"/>
        <w:spacing w:line="240" w:lineRule="auto"/>
        <w:ind w:left="0"/>
        <w:rPr>
          <w:rFonts w:ascii="Arial" w:hAnsi="Arial" w:cs="Arial"/>
        </w:rPr>
      </w:pPr>
    </w:p>
    <w:p w:rsidR="00B44243" w:rsidRPr="004B5A1D" w:rsidRDefault="00B44243" w:rsidP="00B44243">
      <w:pPr>
        <w:pStyle w:val="ListParagraph"/>
        <w:spacing w:line="240" w:lineRule="auto"/>
        <w:ind w:left="0"/>
        <w:rPr>
          <w:rFonts w:ascii="Arial" w:hAnsi="Arial" w:cs="Arial"/>
        </w:rPr>
      </w:pPr>
      <w:r w:rsidRPr="004B5A1D">
        <w:rPr>
          <w:rFonts w:ascii="Arial" w:hAnsi="Arial" w:cs="Arial"/>
        </w:rPr>
        <w:t>Staff</w:t>
      </w:r>
      <w:r w:rsidR="004578BE">
        <w:rPr>
          <w:rFonts w:ascii="Arial" w:hAnsi="Arial" w:cs="Arial"/>
        </w:rPr>
        <w:t xml:space="preserve"> considered the following</w:t>
      </w:r>
      <w:r w:rsidRPr="004B5A1D">
        <w:rPr>
          <w:rFonts w:ascii="Arial" w:hAnsi="Arial" w:cs="Arial"/>
        </w:rPr>
        <w:t>:</w:t>
      </w:r>
    </w:p>
    <w:p w:rsidR="004578BE" w:rsidRDefault="004578BE" w:rsidP="00B44243">
      <w:pPr>
        <w:pStyle w:val="ListParagraph"/>
        <w:spacing w:after="0" w:line="240" w:lineRule="auto"/>
        <w:ind w:left="0"/>
        <w:rPr>
          <w:rFonts w:ascii="Arial" w:hAnsi="Arial" w:cs="Arial"/>
          <w:b/>
          <w:bCs/>
        </w:rPr>
      </w:pPr>
    </w:p>
    <w:p w:rsidR="00B44243" w:rsidRPr="004B5A1D" w:rsidRDefault="00B44243" w:rsidP="005862E5">
      <w:pPr>
        <w:pStyle w:val="ListParagraph"/>
        <w:spacing w:after="0" w:line="240" w:lineRule="auto"/>
        <w:ind w:left="0"/>
        <w:jc w:val="both"/>
        <w:rPr>
          <w:rFonts w:ascii="Arial" w:hAnsi="Arial" w:cs="Arial"/>
          <w:b/>
        </w:rPr>
      </w:pPr>
      <w:r w:rsidRPr="004B5A1D">
        <w:rPr>
          <w:rFonts w:ascii="Arial" w:hAnsi="Arial" w:cs="Arial"/>
          <w:b/>
          <w:bCs/>
        </w:rPr>
        <w:t>Option1:</w:t>
      </w:r>
      <w:r w:rsidRPr="004B5A1D">
        <w:rPr>
          <w:rFonts w:ascii="Arial" w:hAnsi="Arial" w:cs="Arial"/>
          <w:b/>
        </w:rPr>
        <w:t xml:space="preserve"> Implement one leave program for all benefits-eligible employees, to include employer-paid short-term and</w:t>
      </w:r>
      <w:r w:rsidR="00BF26D1">
        <w:rPr>
          <w:rFonts w:ascii="Arial" w:hAnsi="Arial" w:cs="Arial"/>
          <w:b/>
        </w:rPr>
        <w:t xml:space="preserve"> </w:t>
      </w:r>
      <w:r w:rsidR="00B155B9">
        <w:rPr>
          <w:rFonts w:ascii="Arial" w:hAnsi="Arial" w:cs="Arial"/>
          <w:b/>
        </w:rPr>
        <w:t>long-term</w:t>
      </w:r>
      <w:r w:rsidRPr="004B5A1D">
        <w:rPr>
          <w:rFonts w:ascii="Arial" w:hAnsi="Arial" w:cs="Arial"/>
          <w:b/>
        </w:rPr>
        <w:t xml:space="preserve"> disability benefits for all benefits-eligible employees. Considerations for this option:</w:t>
      </w:r>
    </w:p>
    <w:p w:rsidR="00B44243" w:rsidRPr="004B5A1D" w:rsidRDefault="00B44243" w:rsidP="00B44243">
      <w:pPr>
        <w:pStyle w:val="ListParagraph"/>
        <w:spacing w:after="0" w:line="240" w:lineRule="auto"/>
        <w:ind w:left="0"/>
        <w:rPr>
          <w:rFonts w:ascii="Arial" w:hAnsi="Arial" w:cs="Arial"/>
          <w:b/>
        </w:rPr>
      </w:pPr>
    </w:p>
    <w:p w:rsidR="00B44243" w:rsidRPr="004B5A1D" w:rsidRDefault="00B44243" w:rsidP="00B44243">
      <w:pPr>
        <w:numPr>
          <w:ilvl w:val="0"/>
          <w:numId w:val="9"/>
        </w:numPr>
        <w:spacing w:after="0" w:line="240" w:lineRule="auto"/>
        <w:rPr>
          <w:rFonts w:ascii="Arial" w:hAnsi="Arial" w:cs="Arial"/>
        </w:rPr>
      </w:pPr>
      <w:r w:rsidRPr="004B5A1D">
        <w:rPr>
          <w:rFonts w:ascii="Arial" w:hAnsi="Arial" w:cs="Arial"/>
        </w:rPr>
        <w:t>Avoids having two classes of employees resulting in morale issues</w:t>
      </w:r>
      <w:r w:rsidRPr="004B5A1D">
        <w:rPr>
          <w:rFonts w:ascii="Arial" w:eastAsia="Cambria" w:hAnsi="Arial" w:cs="Arial"/>
        </w:rPr>
        <w:t xml:space="preserve"> and benefit inequities between employee groups</w:t>
      </w:r>
    </w:p>
    <w:p w:rsidR="00B44243" w:rsidRPr="004B5A1D" w:rsidRDefault="00B44243" w:rsidP="00B44243">
      <w:pPr>
        <w:pStyle w:val="ListParagraph"/>
        <w:numPr>
          <w:ilvl w:val="0"/>
          <w:numId w:val="9"/>
        </w:numPr>
        <w:pBdr>
          <w:top w:val="nil"/>
          <w:left w:val="nil"/>
          <w:bottom w:val="nil"/>
          <w:right w:val="nil"/>
          <w:between w:val="nil"/>
          <w:bar w:val="nil"/>
        </w:pBdr>
        <w:spacing w:after="0" w:line="240" w:lineRule="auto"/>
        <w:contextualSpacing w:val="0"/>
        <w:rPr>
          <w:rFonts w:ascii="Arial" w:eastAsia="Cambria" w:hAnsi="Arial" w:cs="Arial"/>
        </w:rPr>
      </w:pPr>
      <w:r w:rsidRPr="004B5A1D">
        <w:rPr>
          <w:rFonts w:ascii="Arial" w:eastAsia="Cambria" w:hAnsi="Arial" w:cs="Arial"/>
        </w:rPr>
        <w:t xml:space="preserve">Avoids the long-term complexities and cost of permanently  administering two (or more) leave systems by not acting now </w:t>
      </w:r>
    </w:p>
    <w:p w:rsidR="00B44243" w:rsidRPr="004B5A1D" w:rsidRDefault="00B44243" w:rsidP="00B44243">
      <w:pPr>
        <w:pStyle w:val="ListParagraph"/>
        <w:numPr>
          <w:ilvl w:val="0"/>
          <w:numId w:val="9"/>
        </w:numPr>
        <w:pBdr>
          <w:top w:val="nil"/>
          <w:left w:val="nil"/>
          <w:bottom w:val="nil"/>
          <w:right w:val="nil"/>
          <w:between w:val="nil"/>
          <w:bar w:val="nil"/>
        </w:pBdr>
        <w:spacing w:after="0" w:line="240" w:lineRule="auto"/>
        <w:contextualSpacing w:val="0"/>
        <w:rPr>
          <w:rFonts w:ascii="Arial" w:eastAsia="Times New Roman" w:hAnsi="Arial" w:cs="Arial"/>
        </w:rPr>
      </w:pPr>
      <w:r w:rsidRPr="004B5A1D">
        <w:rPr>
          <w:rFonts w:ascii="Arial" w:eastAsia="Cambria" w:hAnsi="Arial" w:cs="Arial"/>
        </w:rPr>
        <w:t>Provides a superior and more consistent leave benefit for employees in most situations</w:t>
      </w:r>
    </w:p>
    <w:p w:rsidR="00B44243" w:rsidRPr="004B5A1D" w:rsidRDefault="00B44243" w:rsidP="00B44243">
      <w:pPr>
        <w:pStyle w:val="ListParagraph"/>
        <w:numPr>
          <w:ilvl w:val="0"/>
          <w:numId w:val="9"/>
        </w:numPr>
        <w:pBdr>
          <w:top w:val="nil"/>
          <w:left w:val="nil"/>
          <w:bottom w:val="nil"/>
          <w:right w:val="nil"/>
          <w:between w:val="nil"/>
          <w:bar w:val="nil"/>
        </w:pBdr>
        <w:spacing w:after="0" w:line="240" w:lineRule="auto"/>
        <w:contextualSpacing w:val="0"/>
        <w:rPr>
          <w:rFonts w:ascii="Arial" w:eastAsia="Times New Roman" w:hAnsi="Arial" w:cs="Arial"/>
        </w:rPr>
      </w:pPr>
      <w:r w:rsidRPr="004B5A1D">
        <w:rPr>
          <w:rFonts w:ascii="Arial" w:eastAsia="Cambria" w:hAnsi="Arial" w:cs="Arial"/>
        </w:rPr>
        <w:t xml:space="preserve">Third Party Administrator - managed short-term disability (STD) claims, which is expected to result in less usage due to increased oversight and more proactive return-to-work resource provision </w:t>
      </w:r>
    </w:p>
    <w:p w:rsidR="00B44243" w:rsidRPr="004B5A1D" w:rsidRDefault="00B44243" w:rsidP="00B44243">
      <w:pPr>
        <w:pStyle w:val="ListParagraph"/>
        <w:numPr>
          <w:ilvl w:val="0"/>
          <w:numId w:val="9"/>
        </w:numPr>
        <w:pBdr>
          <w:top w:val="nil"/>
          <w:left w:val="nil"/>
          <w:bottom w:val="nil"/>
          <w:right w:val="nil"/>
          <w:between w:val="nil"/>
          <w:bar w:val="nil"/>
        </w:pBdr>
        <w:spacing w:after="0" w:line="240" w:lineRule="auto"/>
        <w:contextualSpacing w:val="0"/>
        <w:rPr>
          <w:rFonts w:ascii="Arial" w:eastAsia="Times New Roman" w:hAnsi="Arial" w:cs="Arial"/>
        </w:rPr>
      </w:pPr>
      <w:r w:rsidRPr="004B5A1D">
        <w:rPr>
          <w:rFonts w:ascii="Arial" w:eastAsia="Cambria" w:hAnsi="Arial" w:cs="Arial"/>
        </w:rPr>
        <w:t>Provides a predictable amount of employee leave for use, rather than an amount that may not be accessed beyond the 60-day FMLA eligibility period</w:t>
      </w:r>
    </w:p>
    <w:p w:rsidR="00B44243" w:rsidRPr="004B5A1D" w:rsidRDefault="00B44243" w:rsidP="00B44243">
      <w:pPr>
        <w:pStyle w:val="ListParagraph"/>
        <w:numPr>
          <w:ilvl w:val="0"/>
          <w:numId w:val="9"/>
        </w:numPr>
        <w:pBdr>
          <w:top w:val="nil"/>
          <w:left w:val="nil"/>
          <w:bottom w:val="nil"/>
          <w:right w:val="nil"/>
          <w:between w:val="nil"/>
          <w:bar w:val="nil"/>
        </w:pBdr>
        <w:spacing w:after="0" w:line="240" w:lineRule="auto"/>
        <w:contextualSpacing w:val="0"/>
        <w:rPr>
          <w:rFonts w:ascii="Arial" w:hAnsi="Arial" w:cs="Arial"/>
          <w:b/>
          <w:bCs/>
        </w:rPr>
      </w:pPr>
      <w:r w:rsidRPr="004B5A1D">
        <w:rPr>
          <w:rFonts w:ascii="Arial" w:eastAsia="Cambria" w:hAnsi="Arial" w:cs="Arial"/>
        </w:rPr>
        <w:t>Consider implementing a lower accrual rate for sick leave than the 8 hours per month currently provided (would incentivize employees to save leave to cover the 7 day STD waiting period)</w:t>
      </w:r>
    </w:p>
    <w:p w:rsidR="00B44243" w:rsidRPr="004B5A1D" w:rsidRDefault="00B44243" w:rsidP="00B44243">
      <w:pPr>
        <w:pStyle w:val="ListParagraph"/>
        <w:numPr>
          <w:ilvl w:val="0"/>
          <w:numId w:val="9"/>
        </w:numPr>
        <w:pBdr>
          <w:top w:val="nil"/>
          <w:left w:val="nil"/>
          <w:bottom w:val="nil"/>
          <w:right w:val="nil"/>
          <w:between w:val="nil"/>
          <w:bar w:val="nil"/>
        </w:pBdr>
        <w:spacing w:after="0" w:line="240" w:lineRule="auto"/>
        <w:contextualSpacing w:val="0"/>
        <w:rPr>
          <w:rFonts w:ascii="Arial" w:hAnsi="Arial" w:cs="Arial"/>
          <w:b/>
          <w:bCs/>
        </w:rPr>
      </w:pPr>
      <w:r w:rsidRPr="004B5A1D">
        <w:rPr>
          <w:rFonts w:ascii="Arial" w:eastAsia="Cambria" w:hAnsi="Arial" w:cs="Arial"/>
        </w:rPr>
        <w:t>Employees with large leave balances may have a negative perception of the change to a different system</w:t>
      </w:r>
    </w:p>
    <w:p w:rsidR="00B44243" w:rsidRPr="00B155B9" w:rsidRDefault="00B44243" w:rsidP="004578BE">
      <w:pPr>
        <w:pStyle w:val="ListParagraph"/>
        <w:numPr>
          <w:ilvl w:val="0"/>
          <w:numId w:val="9"/>
        </w:numPr>
        <w:spacing w:after="0"/>
        <w:rPr>
          <w:rFonts w:ascii="Arial" w:hAnsi="Arial" w:cs="Arial"/>
        </w:rPr>
      </w:pPr>
      <w:r w:rsidRPr="00B155B9">
        <w:rPr>
          <w:rFonts w:ascii="Arial" w:hAnsi="Arial" w:cs="Arial"/>
          <w:b/>
          <w:bCs/>
        </w:rPr>
        <w:t>Budget Impact FY15/16:</w:t>
      </w:r>
      <w:r w:rsidRPr="00B155B9">
        <w:rPr>
          <w:rFonts w:ascii="Arial" w:hAnsi="Arial" w:cs="Arial"/>
        </w:rPr>
        <w:t xml:space="preserve"> Third party administrator costs to provide short and long term disability to all benefit eligible employees is projected to be approximately $450,000.  We expect a reduction in substitute costs (8% reduction in absenteeism through managed care), which equates to approximately $101,443 in savings </w:t>
      </w:r>
    </w:p>
    <w:p w:rsidR="00B44243" w:rsidRPr="004B5A1D" w:rsidRDefault="00B44243" w:rsidP="00B44243">
      <w:pPr>
        <w:ind w:left="360"/>
        <w:rPr>
          <w:rFonts w:ascii="Arial" w:hAnsi="Arial" w:cs="Arial"/>
          <w:b/>
          <w:bCs/>
        </w:rPr>
      </w:pPr>
    </w:p>
    <w:p w:rsidR="00B44243" w:rsidRPr="004B5A1D" w:rsidRDefault="00B407BD" w:rsidP="005862E5">
      <w:pPr>
        <w:pStyle w:val="ListParagraph"/>
        <w:spacing w:after="0" w:line="240" w:lineRule="auto"/>
        <w:ind w:left="0"/>
        <w:jc w:val="both"/>
        <w:rPr>
          <w:rFonts w:ascii="Arial" w:hAnsi="Arial" w:cs="Arial"/>
        </w:rPr>
      </w:pPr>
      <w:r w:rsidRPr="004B5A1D">
        <w:rPr>
          <w:rFonts w:ascii="Arial" w:hAnsi="Arial" w:cs="Arial"/>
          <w:b/>
          <w:bCs/>
        </w:rPr>
        <w:t>Option 2</w:t>
      </w:r>
      <w:r w:rsidR="00B44243" w:rsidRPr="004B5A1D">
        <w:rPr>
          <w:rFonts w:ascii="Arial" w:hAnsi="Arial" w:cs="Arial"/>
          <w:b/>
          <w:bCs/>
        </w:rPr>
        <w:t>: Retain the current leave policies for Non-Hybrid Plan employees and create new, fiscally responsible leave policies that coordinate with state-mandated leave benefits for Hybrid Plan employees. Considerations for this option:</w:t>
      </w:r>
    </w:p>
    <w:p w:rsidR="00B44243" w:rsidRPr="004B5A1D" w:rsidRDefault="00B44243" w:rsidP="00B44243">
      <w:pPr>
        <w:pStyle w:val="ListParagraph"/>
        <w:numPr>
          <w:ilvl w:val="0"/>
          <w:numId w:val="10"/>
        </w:numPr>
        <w:pBdr>
          <w:top w:val="nil"/>
          <w:left w:val="nil"/>
          <w:bottom w:val="nil"/>
          <w:right w:val="nil"/>
          <w:between w:val="nil"/>
          <w:bar w:val="nil"/>
        </w:pBdr>
        <w:spacing w:after="0" w:line="240" w:lineRule="auto"/>
        <w:contextualSpacing w:val="0"/>
        <w:rPr>
          <w:rFonts w:ascii="Arial" w:eastAsia="Times New Roman" w:hAnsi="Arial" w:cs="Arial"/>
        </w:rPr>
      </w:pPr>
      <w:r w:rsidRPr="004B5A1D">
        <w:rPr>
          <w:rFonts w:ascii="Arial" w:eastAsia="Cambria" w:hAnsi="Arial" w:cs="Arial"/>
        </w:rPr>
        <w:t>Slower increase in costs of VLDP mandated system as employee base transitions to mostly Hybrid membership  (estimated 5-6 years)</w:t>
      </w:r>
    </w:p>
    <w:p w:rsidR="00B44243" w:rsidRPr="004B5A1D" w:rsidRDefault="00B44243" w:rsidP="00B44243">
      <w:pPr>
        <w:pStyle w:val="ListParagraph"/>
        <w:numPr>
          <w:ilvl w:val="0"/>
          <w:numId w:val="10"/>
        </w:numPr>
        <w:pBdr>
          <w:top w:val="nil"/>
          <w:left w:val="nil"/>
          <w:bottom w:val="nil"/>
          <w:right w:val="nil"/>
          <w:between w:val="nil"/>
          <w:bar w:val="nil"/>
        </w:pBdr>
        <w:tabs>
          <w:tab w:val="left" w:pos="270"/>
        </w:tabs>
        <w:spacing w:after="0" w:line="240" w:lineRule="auto"/>
        <w:contextualSpacing w:val="0"/>
        <w:rPr>
          <w:rFonts w:ascii="Arial" w:eastAsia="Times New Roman" w:hAnsi="Arial" w:cs="Arial"/>
        </w:rPr>
      </w:pPr>
      <w:r w:rsidRPr="004B5A1D">
        <w:rPr>
          <w:rFonts w:ascii="Arial" w:eastAsia="Cambria" w:hAnsi="Arial" w:cs="Arial"/>
        </w:rPr>
        <w:t xml:space="preserve">Employees would receive different leave benefits based on their VRS status, creating disparate treatment of leave issues </w:t>
      </w:r>
    </w:p>
    <w:p w:rsidR="00B44243" w:rsidRPr="004B5A1D" w:rsidRDefault="00B44243" w:rsidP="00B44243">
      <w:pPr>
        <w:pStyle w:val="ListParagraph"/>
        <w:numPr>
          <w:ilvl w:val="0"/>
          <w:numId w:val="10"/>
        </w:numPr>
        <w:pBdr>
          <w:top w:val="nil"/>
          <w:left w:val="nil"/>
          <w:bottom w:val="nil"/>
          <w:right w:val="nil"/>
          <w:between w:val="nil"/>
          <w:bar w:val="nil"/>
        </w:pBdr>
        <w:spacing w:after="0" w:line="240" w:lineRule="auto"/>
        <w:contextualSpacing w:val="0"/>
        <w:rPr>
          <w:rFonts w:ascii="Arial" w:hAnsi="Arial" w:cs="Arial"/>
        </w:rPr>
      </w:pPr>
      <w:r w:rsidRPr="004B5A1D">
        <w:rPr>
          <w:rFonts w:ascii="Arial" w:eastAsia="Cambria" w:hAnsi="Arial" w:cs="Arial"/>
        </w:rPr>
        <w:t>Need to hire at least one additional leave administrator to manage the communication, systems and manual tracking for these different groups of employees. Most organizations of similar size have a time-tracking system and some have as many as three leave administrators to manage their policies/programs.</w:t>
      </w:r>
      <w:r w:rsidRPr="004B5A1D">
        <w:rPr>
          <w:rFonts w:ascii="Arial" w:hAnsi="Arial" w:cs="Arial"/>
        </w:rPr>
        <w:t xml:space="preserve"> Currently, we have 1 full time HR Specialist who is responsible for the administratio</w:t>
      </w:r>
      <w:r w:rsidR="009F2B31">
        <w:rPr>
          <w:rFonts w:ascii="Arial" w:hAnsi="Arial" w:cs="Arial"/>
        </w:rPr>
        <w:t xml:space="preserve">n of all leave processing </w:t>
      </w:r>
      <w:r w:rsidRPr="004B5A1D">
        <w:rPr>
          <w:rFonts w:ascii="Arial" w:hAnsi="Arial" w:cs="Arial"/>
        </w:rPr>
        <w:t xml:space="preserve">for over 3,000 employees </w:t>
      </w:r>
    </w:p>
    <w:p w:rsidR="00B44243" w:rsidRPr="004B5A1D" w:rsidRDefault="00B44243" w:rsidP="00B44243">
      <w:pPr>
        <w:pStyle w:val="ListParagraph"/>
        <w:numPr>
          <w:ilvl w:val="0"/>
          <w:numId w:val="10"/>
        </w:numPr>
        <w:pBdr>
          <w:top w:val="nil"/>
          <w:left w:val="nil"/>
          <w:bottom w:val="nil"/>
          <w:right w:val="nil"/>
          <w:between w:val="nil"/>
          <w:bar w:val="nil"/>
        </w:pBdr>
        <w:spacing w:after="0" w:line="240" w:lineRule="auto"/>
        <w:contextualSpacing w:val="0"/>
        <w:rPr>
          <w:rFonts w:ascii="Arial" w:eastAsia="Times New Roman" w:hAnsi="Arial" w:cs="Arial"/>
        </w:rPr>
      </w:pPr>
      <w:r w:rsidRPr="004B5A1D">
        <w:rPr>
          <w:rFonts w:ascii="Arial" w:eastAsia="Cambria" w:hAnsi="Arial" w:cs="Arial"/>
        </w:rPr>
        <w:t xml:space="preserve"> Prolonging long-term commitment to two leave systems regardless of the eventual change in ratio of </w:t>
      </w:r>
      <w:r w:rsidRPr="004B5A1D">
        <w:rPr>
          <w:rFonts w:ascii="Arial" w:hAnsi="Arial" w:cs="Arial"/>
        </w:rPr>
        <w:t xml:space="preserve">the County’s </w:t>
      </w:r>
      <w:r w:rsidRPr="004B5A1D">
        <w:rPr>
          <w:rFonts w:ascii="Arial" w:eastAsia="Cambria" w:hAnsi="Arial" w:cs="Arial"/>
        </w:rPr>
        <w:t>Hybrid vs. non-Hybrid employees</w:t>
      </w:r>
    </w:p>
    <w:p w:rsidR="00B44243" w:rsidRPr="004578BE" w:rsidRDefault="00B44243" w:rsidP="00B44243">
      <w:pPr>
        <w:pStyle w:val="ListParagraph"/>
        <w:numPr>
          <w:ilvl w:val="0"/>
          <w:numId w:val="10"/>
        </w:numPr>
        <w:pBdr>
          <w:top w:val="nil"/>
          <w:left w:val="nil"/>
          <w:bottom w:val="nil"/>
          <w:right w:val="nil"/>
          <w:between w:val="nil"/>
          <w:bar w:val="nil"/>
        </w:pBdr>
        <w:spacing w:after="0" w:line="240" w:lineRule="auto"/>
        <w:contextualSpacing w:val="0"/>
        <w:rPr>
          <w:rFonts w:ascii="Arial" w:eastAsia="Times New Roman" w:hAnsi="Arial" w:cs="Arial"/>
        </w:rPr>
      </w:pPr>
      <w:r w:rsidRPr="004B5A1D">
        <w:rPr>
          <w:rFonts w:ascii="Arial" w:eastAsia="Cambria" w:hAnsi="Arial" w:cs="Arial"/>
        </w:rPr>
        <w:t>Need to maintain a sick bank program (or equivalent) for first year of employment for hybrid employees; however, this bank will likely become unsustainable given the increasing ratio of Hybrid to non-Hybrid staff</w:t>
      </w:r>
    </w:p>
    <w:p w:rsidR="006D4AF3" w:rsidRDefault="00B44243">
      <w:pPr>
        <w:pStyle w:val="ListParagraph"/>
        <w:numPr>
          <w:ilvl w:val="0"/>
          <w:numId w:val="10"/>
        </w:numPr>
        <w:spacing w:after="0" w:line="240" w:lineRule="auto"/>
        <w:rPr>
          <w:rFonts w:ascii="Arial" w:hAnsi="Arial" w:cs="Arial"/>
        </w:rPr>
      </w:pPr>
      <w:r w:rsidRPr="00B155B9">
        <w:rPr>
          <w:rFonts w:ascii="Arial" w:hAnsi="Arial" w:cs="Arial"/>
          <w:b/>
          <w:bCs/>
        </w:rPr>
        <w:t>Budget Impact FY15/16:</w:t>
      </w:r>
      <w:r w:rsidRPr="00B155B9">
        <w:rPr>
          <w:rFonts w:ascii="Arial" w:hAnsi="Arial" w:cs="Arial"/>
        </w:rPr>
        <w:t xml:space="preserve"> Third party administrator costs to provide short and long term disability to hybrid employees for FY 15/16 is projected to be $99,954.  The total costs for adding an additional HR Specialist II is $63,450.  This position is required solely to manage two leave systems.  Additionally, it is estimated that the additional administrative time for schools/departments to administer, communicate and manage two systems for employees is approximately $10,000. </w:t>
      </w:r>
    </w:p>
    <w:sectPr w:rsidR="006D4AF3" w:rsidSect="00CA12C6">
      <w:headerReference w:type="default" r:id="rId16"/>
      <w:pgSz w:w="12240" w:h="15840" w:code="1"/>
      <w:pgMar w:top="1296" w:right="1440" w:bottom="1152"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458" w:rsidRDefault="00817458" w:rsidP="000B57F6">
      <w:pPr>
        <w:spacing w:after="0" w:line="240" w:lineRule="auto"/>
      </w:pPr>
      <w:r>
        <w:separator/>
      </w:r>
    </w:p>
  </w:endnote>
  <w:endnote w:type="continuationSeparator" w:id="0">
    <w:p w:rsidR="00817458" w:rsidRDefault="00817458" w:rsidP="000B5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458" w:rsidRDefault="00817458" w:rsidP="000B57F6">
      <w:pPr>
        <w:spacing w:after="0" w:line="240" w:lineRule="auto"/>
      </w:pPr>
      <w:r>
        <w:separator/>
      </w:r>
    </w:p>
  </w:footnote>
  <w:footnote w:type="continuationSeparator" w:id="0">
    <w:p w:rsidR="00817458" w:rsidRDefault="00817458" w:rsidP="000B57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7F6" w:rsidRPr="00CA12C6" w:rsidRDefault="000B57F6" w:rsidP="00CA12C6">
    <w:pPr>
      <w:pStyle w:val="Header"/>
      <w:jc w:val="right"/>
      <w:rPr>
        <w:rFonts w:ascii="Arial" w:hAnsi="Arial" w:cs="Arial"/>
      </w:rPr>
    </w:pPr>
    <w:r w:rsidRPr="00CA12C6">
      <w:rPr>
        <w:rFonts w:ascii="Arial" w:hAnsi="Arial" w:cs="Arial"/>
      </w:rPr>
      <w:t>October 2014</w:t>
    </w:r>
  </w:p>
  <w:p w:rsidR="000B57F6" w:rsidRDefault="000B57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554590"/>
    <w:multiLevelType w:val="hybridMultilevel"/>
    <w:tmpl w:val="AAD4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2C487C"/>
    <w:multiLevelType w:val="hybridMultilevel"/>
    <w:tmpl w:val="AD5A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CA5B70"/>
    <w:multiLevelType w:val="multilevel"/>
    <w:tmpl w:val="668A4FB2"/>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6">
    <w:nsid w:val="554C0403"/>
    <w:multiLevelType w:val="multilevel"/>
    <w:tmpl w:val="2378F606"/>
    <w:styleLink w:val="List2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
    <w:nsid w:val="626203B8"/>
    <w:multiLevelType w:val="hybridMultilevel"/>
    <w:tmpl w:val="C9ECD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51E696F"/>
    <w:multiLevelType w:val="multilevel"/>
    <w:tmpl w:val="29085C8C"/>
    <w:styleLink w:val="List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9">
    <w:nsid w:val="66D13222"/>
    <w:multiLevelType w:val="hybridMultilevel"/>
    <w:tmpl w:val="9C2CBC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EC3AEE"/>
    <w:multiLevelType w:val="hybridMultilevel"/>
    <w:tmpl w:val="0C6A7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5"/>
  </w:num>
  <w:num w:numId="7">
    <w:abstractNumId w:val="8"/>
  </w:num>
  <w:num w:numId="8">
    <w:abstractNumId w:val="6"/>
  </w:num>
  <w:num w:numId="9">
    <w:abstractNumId w:val="4"/>
  </w:num>
  <w:num w:numId="10">
    <w:abstractNumId w:val="9"/>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D517D"/>
    <w:rsid w:val="00017CF1"/>
    <w:rsid w:val="00031ADC"/>
    <w:rsid w:val="000511F8"/>
    <w:rsid w:val="000567A8"/>
    <w:rsid w:val="000B57F6"/>
    <w:rsid w:val="000D0918"/>
    <w:rsid w:val="000D4D50"/>
    <w:rsid w:val="000E0AD7"/>
    <w:rsid w:val="001074AA"/>
    <w:rsid w:val="001120B0"/>
    <w:rsid w:val="00161FFD"/>
    <w:rsid w:val="001860E7"/>
    <w:rsid w:val="001A438E"/>
    <w:rsid w:val="001A61DE"/>
    <w:rsid w:val="001E4C4D"/>
    <w:rsid w:val="00242AC6"/>
    <w:rsid w:val="00275763"/>
    <w:rsid w:val="00275788"/>
    <w:rsid w:val="00283B91"/>
    <w:rsid w:val="002E16A3"/>
    <w:rsid w:val="002E349A"/>
    <w:rsid w:val="00326BBC"/>
    <w:rsid w:val="003440B3"/>
    <w:rsid w:val="00367E72"/>
    <w:rsid w:val="00391A6C"/>
    <w:rsid w:val="00392F66"/>
    <w:rsid w:val="003B660A"/>
    <w:rsid w:val="003E624D"/>
    <w:rsid w:val="00406888"/>
    <w:rsid w:val="00455C6E"/>
    <w:rsid w:val="004578BE"/>
    <w:rsid w:val="00463388"/>
    <w:rsid w:val="00493726"/>
    <w:rsid w:val="004959D1"/>
    <w:rsid w:val="004A68DC"/>
    <w:rsid w:val="005443AD"/>
    <w:rsid w:val="00566BC3"/>
    <w:rsid w:val="005706A7"/>
    <w:rsid w:val="005731CB"/>
    <w:rsid w:val="00573524"/>
    <w:rsid w:val="005862E5"/>
    <w:rsid w:val="00586361"/>
    <w:rsid w:val="0059319B"/>
    <w:rsid w:val="00617420"/>
    <w:rsid w:val="006D4AF3"/>
    <w:rsid w:val="00721452"/>
    <w:rsid w:val="00737D35"/>
    <w:rsid w:val="00745C88"/>
    <w:rsid w:val="007E6B34"/>
    <w:rsid w:val="00817458"/>
    <w:rsid w:val="00822D81"/>
    <w:rsid w:val="00832FE9"/>
    <w:rsid w:val="008337D3"/>
    <w:rsid w:val="00846F56"/>
    <w:rsid w:val="00852E49"/>
    <w:rsid w:val="00857DAA"/>
    <w:rsid w:val="0087763B"/>
    <w:rsid w:val="00950570"/>
    <w:rsid w:val="00960E1F"/>
    <w:rsid w:val="009842D1"/>
    <w:rsid w:val="009A2DC5"/>
    <w:rsid w:val="009F2B31"/>
    <w:rsid w:val="00A81A53"/>
    <w:rsid w:val="00AD0969"/>
    <w:rsid w:val="00AD330F"/>
    <w:rsid w:val="00AE5F71"/>
    <w:rsid w:val="00B07BFF"/>
    <w:rsid w:val="00B155B9"/>
    <w:rsid w:val="00B171F0"/>
    <w:rsid w:val="00B35D77"/>
    <w:rsid w:val="00B407BD"/>
    <w:rsid w:val="00B44243"/>
    <w:rsid w:val="00B71159"/>
    <w:rsid w:val="00BB599D"/>
    <w:rsid w:val="00BE2BC3"/>
    <w:rsid w:val="00BE5405"/>
    <w:rsid w:val="00BE5871"/>
    <w:rsid w:val="00BF26D1"/>
    <w:rsid w:val="00C35ED3"/>
    <w:rsid w:val="00CA12C6"/>
    <w:rsid w:val="00CA734A"/>
    <w:rsid w:val="00CC5EA9"/>
    <w:rsid w:val="00CD517D"/>
    <w:rsid w:val="00CE50B6"/>
    <w:rsid w:val="00D461E4"/>
    <w:rsid w:val="00D51FA1"/>
    <w:rsid w:val="00D74192"/>
    <w:rsid w:val="00D7463F"/>
    <w:rsid w:val="00D82ABD"/>
    <w:rsid w:val="00D960EB"/>
    <w:rsid w:val="00DA0605"/>
    <w:rsid w:val="00DB2FD0"/>
    <w:rsid w:val="00E02D1D"/>
    <w:rsid w:val="00E725E4"/>
    <w:rsid w:val="00EB0827"/>
    <w:rsid w:val="00EB2E79"/>
    <w:rsid w:val="00F5644A"/>
    <w:rsid w:val="00F60A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F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D517D"/>
    <w:pPr>
      <w:ind w:left="720"/>
      <w:contextualSpacing/>
    </w:pPr>
  </w:style>
  <w:style w:type="paragraph" w:customStyle="1" w:styleId="Body">
    <w:name w:val="Body"/>
    <w:rsid w:val="00B44243"/>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B44243"/>
    <w:pPr>
      <w:numPr>
        <w:numId w:val="6"/>
      </w:numPr>
    </w:pPr>
  </w:style>
  <w:style w:type="numbering" w:customStyle="1" w:styleId="List1">
    <w:name w:val="List 1"/>
    <w:basedOn w:val="NoList"/>
    <w:rsid w:val="00B44243"/>
    <w:pPr>
      <w:numPr>
        <w:numId w:val="7"/>
      </w:numPr>
    </w:pPr>
  </w:style>
  <w:style w:type="numbering" w:customStyle="1" w:styleId="List21">
    <w:name w:val="List 21"/>
    <w:basedOn w:val="NoList"/>
    <w:rsid w:val="00B44243"/>
    <w:pPr>
      <w:numPr>
        <w:numId w:val="8"/>
      </w:numPr>
    </w:pPr>
  </w:style>
  <w:style w:type="paragraph" w:customStyle="1" w:styleId="Body1">
    <w:name w:val="Body 1"/>
    <w:basedOn w:val="Normal"/>
    <w:rsid w:val="00617420"/>
    <w:pPr>
      <w:spacing w:after="0" w:line="240" w:lineRule="auto"/>
    </w:pPr>
    <w:rPr>
      <w:rFonts w:ascii="Helvetica" w:eastAsiaTheme="minorHAnsi" w:hAnsi="Helvetica" w:cs="Helvetica"/>
      <w:color w:val="000000"/>
    </w:rPr>
  </w:style>
  <w:style w:type="table" w:styleId="TableGrid">
    <w:name w:val="Table Grid"/>
    <w:basedOn w:val="TableNormal"/>
    <w:uiPriority w:val="59"/>
    <w:rsid w:val="0061742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617420"/>
    <w:pPr>
      <w:widowControl w:val="0"/>
      <w:snapToGrid w:val="0"/>
      <w:spacing w:after="120" w:line="240" w:lineRule="auto"/>
    </w:pPr>
    <w:rPr>
      <w:rFonts w:ascii="Courier New" w:eastAsia="Times New Roman" w:hAnsi="Courier New"/>
      <w:sz w:val="16"/>
      <w:szCs w:val="16"/>
    </w:rPr>
  </w:style>
  <w:style w:type="character" w:customStyle="1" w:styleId="BodyText3Char">
    <w:name w:val="Body Text 3 Char"/>
    <w:basedOn w:val="DefaultParagraphFont"/>
    <w:link w:val="BodyText3"/>
    <w:rsid w:val="00617420"/>
    <w:rPr>
      <w:rFonts w:ascii="Courier New" w:eastAsia="Times New Roman" w:hAnsi="Courier New"/>
      <w:sz w:val="16"/>
      <w:szCs w:val="16"/>
    </w:rPr>
  </w:style>
  <w:style w:type="paragraph" w:styleId="BalloonText">
    <w:name w:val="Balloon Text"/>
    <w:basedOn w:val="Normal"/>
    <w:link w:val="BalloonTextChar"/>
    <w:uiPriority w:val="99"/>
    <w:semiHidden/>
    <w:unhideWhenUsed/>
    <w:rsid w:val="00CE50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50B6"/>
    <w:rPr>
      <w:rFonts w:ascii="Tahoma" w:hAnsi="Tahoma" w:cs="Tahoma"/>
      <w:sz w:val="16"/>
      <w:szCs w:val="16"/>
    </w:rPr>
  </w:style>
  <w:style w:type="paragraph" w:customStyle="1" w:styleId="Default">
    <w:name w:val="Default"/>
    <w:rsid w:val="00242AC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0B5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7F6"/>
    <w:rPr>
      <w:sz w:val="22"/>
      <w:szCs w:val="22"/>
    </w:rPr>
  </w:style>
  <w:style w:type="paragraph" w:styleId="Footer">
    <w:name w:val="footer"/>
    <w:basedOn w:val="Normal"/>
    <w:link w:val="FooterChar"/>
    <w:uiPriority w:val="99"/>
    <w:semiHidden/>
    <w:unhideWhenUsed/>
    <w:rsid w:val="000B57F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57F6"/>
    <w:rPr>
      <w:sz w:val="22"/>
      <w:szCs w:val="22"/>
    </w:rPr>
  </w:style>
</w:styles>
</file>

<file path=word/webSettings.xml><?xml version="1.0" encoding="utf-8"?>
<w:webSettings xmlns:r="http://schemas.openxmlformats.org/officeDocument/2006/relationships" xmlns:w="http://schemas.openxmlformats.org/wordprocessingml/2006/main">
  <w:divs>
    <w:div w:id="27413101">
      <w:bodyDiv w:val="1"/>
      <w:marLeft w:val="0"/>
      <w:marRight w:val="0"/>
      <w:marTop w:val="0"/>
      <w:marBottom w:val="0"/>
      <w:divBdr>
        <w:top w:val="none" w:sz="0" w:space="0" w:color="auto"/>
        <w:left w:val="none" w:sz="0" w:space="0" w:color="auto"/>
        <w:bottom w:val="none" w:sz="0" w:space="0" w:color="auto"/>
        <w:right w:val="none" w:sz="0" w:space="0" w:color="auto"/>
      </w:divBdr>
    </w:div>
    <w:div w:id="629282849">
      <w:bodyDiv w:val="1"/>
      <w:marLeft w:val="0"/>
      <w:marRight w:val="0"/>
      <w:marTop w:val="0"/>
      <w:marBottom w:val="0"/>
      <w:divBdr>
        <w:top w:val="none" w:sz="0" w:space="0" w:color="auto"/>
        <w:left w:val="none" w:sz="0" w:space="0" w:color="auto"/>
        <w:bottom w:val="none" w:sz="0" w:space="0" w:color="auto"/>
        <w:right w:val="none" w:sz="0" w:space="0" w:color="auto"/>
      </w:divBdr>
    </w:div>
    <w:div w:id="1034233536">
      <w:bodyDiv w:val="1"/>
      <w:marLeft w:val="0"/>
      <w:marRight w:val="0"/>
      <w:marTop w:val="0"/>
      <w:marBottom w:val="0"/>
      <w:divBdr>
        <w:top w:val="none" w:sz="0" w:space="0" w:color="auto"/>
        <w:left w:val="none" w:sz="0" w:space="0" w:color="auto"/>
        <w:bottom w:val="none" w:sz="0" w:space="0" w:color="auto"/>
        <w:right w:val="none" w:sz="0" w:space="0" w:color="auto"/>
      </w:divBdr>
    </w:div>
    <w:div w:id="1289118131">
      <w:bodyDiv w:val="1"/>
      <w:marLeft w:val="0"/>
      <w:marRight w:val="0"/>
      <w:marTop w:val="0"/>
      <w:marBottom w:val="0"/>
      <w:divBdr>
        <w:top w:val="none" w:sz="0" w:space="0" w:color="auto"/>
        <w:left w:val="none" w:sz="0" w:space="0" w:color="auto"/>
        <w:bottom w:val="none" w:sz="0" w:space="0" w:color="auto"/>
        <w:right w:val="none" w:sz="0" w:space="0" w:color="auto"/>
      </w:divBdr>
    </w:div>
    <w:div w:id="1661231307">
      <w:bodyDiv w:val="1"/>
      <w:marLeft w:val="0"/>
      <w:marRight w:val="0"/>
      <w:marTop w:val="0"/>
      <w:marBottom w:val="0"/>
      <w:divBdr>
        <w:top w:val="none" w:sz="0" w:space="0" w:color="auto"/>
        <w:left w:val="none" w:sz="0" w:space="0" w:color="auto"/>
        <w:bottom w:val="none" w:sz="0" w:space="0" w:color="auto"/>
        <w:right w:val="none" w:sz="0" w:space="0" w:color="auto"/>
      </w:divBdr>
    </w:div>
    <w:div w:id="1746413066">
      <w:bodyDiv w:val="1"/>
      <w:marLeft w:val="0"/>
      <w:marRight w:val="0"/>
      <w:marTop w:val="0"/>
      <w:marBottom w:val="0"/>
      <w:divBdr>
        <w:top w:val="none" w:sz="0" w:space="0" w:color="auto"/>
        <w:left w:val="none" w:sz="0" w:space="0" w:color="auto"/>
        <w:bottom w:val="none" w:sz="0" w:space="0" w:color="auto"/>
        <w:right w:val="none" w:sz="0" w:space="0" w:color="auto"/>
      </w:divBdr>
    </w:div>
    <w:div w:id="203017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B9D627F5C05F42902E504789E0FF10" ma:contentTypeVersion="2" ma:contentTypeDescription="Create a new document." ma:contentTypeScope="" ma:versionID="9470e993fe3528bdde39d04535bce429">
  <xsd:schema xmlns:xsd="http://www.w3.org/2001/XMLSchema" xmlns:p="http://schemas.microsoft.com/office/2006/metadata/properties" targetNamespace="http://schemas.microsoft.com/office/2006/metadata/properties" ma:root="true" ma:fieldsID="9dcdb8ddb7fe420af8f4bcd73f21a3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25677F-4CD1-4979-978D-669802EDA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1E0258D-7274-49CC-B18F-49877203E905}">
  <ds:schemaRefs>
    <ds:schemaRef ds:uri="http://schemas.microsoft.com/sharepoint/v3/contenttype/forms"/>
  </ds:schemaRefs>
</ds:datastoreItem>
</file>

<file path=customXml/itemProps3.xml><?xml version="1.0" encoding="utf-8"?>
<ds:datastoreItem xmlns:ds="http://schemas.openxmlformats.org/officeDocument/2006/customXml" ds:itemID="{8ABDF70E-C1B7-4426-8375-B08A5CCBDFE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4322C7E7-B349-4CF0-8701-52E92108D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2594</Words>
  <Characters>14789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17349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aroberts3</dc:creator>
  <cp:lastModifiedBy>ejordan</cp:lastModifiedBy>
  <cp:revision>2</cp:revision>
  <cp:lastPrinted>2014-10-02T20:06:00Z</cp:lastPrinted>
  <dcterms:created xsi:type="dcterms:W3CDTF">2014-10-02T20:07:00Z</dcterms:created>
  <dcterms:modified xsi:type="dcterms:W3CDTF">2014-10-02T20:07:00Z</dcterms:modified>
</cp:coreProperties>
</file>