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20C" w:rsidRDefault="005D220C" w:rsidP="005D220C">
      <w:pPr>
        <w:spacing w:after="240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br/>
      </w:r>
      <w:r>
        <w:rPr>
          <w:rFonts w:ascii="Calibri" w:eastAsia="Times New Roman" w:hAnsi="Calibri"/>
          <w:b/>
          <w:bCs/>
          <w:sz w:val="22"/>
          <w:szCs w:val="22"/>
        </w:rPr>
        <w:t xml:space="preserve">An Economic Frame: Why Digital Integration Advantages Contemporary Learners </w:t>
      </w:r>
      <w:r>
        <w:rPr>
          <w:rFonts w:ascii="Calibri" w:eastAsia="Times New Roman" w:hAnsi="Calibri"/>
          <w:b/>
          <w:bCs/>
          <w:sz w:val="22"/>
          <w:szCs w:val="22"/>
        </w:rPr>
        <w:br/>
      </w:r>
      <w:r>
        <w:rPr>
          <w:rFonts w:ascii="Calibri" w:eastAsia="Times New Roman" w:hAnsi="Calibri"/>
          <w:sz w:val="22"/>
          <w:szCs w:val="22"/>
        </w:rPr>
        <w:br/>
        <w:t>Forbes Magazine: Why I Believe That This Will Be the Most Innovative Decade in Human History (</w:t>
      </w:r>
      <w:proofErr w:type="spellStart"/>
      <w:r>
        <w:rPr>
          <w:rFonts w:ascii="Calibri" w:eastAsia="Times New Roman" w:hAnsi="Calibri"/>
          <w:sz w:val="22"/>
          <w:szCs w:val="22"/>
        </w:rPr>
        <w:t>Vivak</w:t>
      </w:r>
      <w:proofErr w:type="spellEnd"/>
      <w:r>
        <w:rPr>
          <w:rFonts w:ascii="Calibri" w:eastAsia="Times New Roman" w:hAnsi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/>
          <w:sz w:val="22"/>
          <w:szCs w:val="22"/>
        </w:rPr>
        <w:t>Wadwha</w:t>
      </w:r>
      <w:proofErr w:type="spellEnd"/>
      <w:r>
        <w:rPr>
          <w:rFonts w:ascii="Calibri" w:eastAsia="Times New Roman" w:hAnsi="Calibri"/>
          <w:sz w:val="22"/>
          <w:szCs w:val="22"/>
        </w:rPr>
        <w:t xml:space="preserve"> of Duke University’s Center for Entrepreneurship and Research Commercialization) </w:t>
      </w:r>
      <w:hyperlink r:id="rId5" w:history="1">
        <w:r>
          <w:rPr>
            <w:rStyle w:val="Hyperlink"/>
            <w:rFonts w:ascii="Calibri" w:eastAsia="Times New Roman" w:hAnsi="Calibri"/>
            <w:sz w:val="22"/>
            <w:szCs w:val="22"/>
          </w:rPr>
          <w:t>http://www.forbes.com/sites/singularity/2012/06/25/most-innovative-decade-in-history/</w:t>
        </w:r>
      </w:hyperlink>
      <w:r>
        <w:rPr>
          <w:rFonts w:ascii="Calibri" w:eastAsia="Times New Roman" w:hAnsi="Calibri"/>
          <w:sz w:val="22"/>
          <w:szCs w:val="22"/>
        </w:rPr>
        <w:br/>
      </w:r>
      <w:r>
        <w:rPr>
          <w:rFonts w:ascii="Calibri" w:eastAsia="Times New Roman" w:hAnsi="Calibri"/>
          <w:sz w:val="22"/>
          <w:szCs w:val="22"/>
        </w:rPr>
        <w:br/>
      </w:r>
      <w:r>
        <w:rPr>
          <w:rFonts w:ascii="Calibri" w:eastAsia="Times New Roman" w:hAnsi="Calibri"/>
          <w:b/>
          <w:bCs/>
          <w:sz w:val="22"/>
          <w:szCs w:val="22"/>
        </w:rPr>
        <w:t>Digital Learning links that inform Understanding of the Digital Learning Initiative</w:t>
      </w:r>
      <w:r>
        <w:rPr>
          <w:rFonts w:ascii="Calibri" w:eastAsia="Times New Roman" w:hAnsi="Calibri"/>
          <w:b/>
          <w:bCs/>
          <w:sz w:val="22"/>
          <w:szCs w:val="22"/>
        </w:rPr>
        <w:br/>
      </w:r>
      <w:r>
        <w:rPr>
          <w:rFonts w:ascii="Calibri" w:eastAsia="Times New Roman" w:hAnsi="Calibri"/>
          <w:sz w:val="22"/>
          <w:szCs w:val="22"/>
        </w:rPr>
        <w:br/>
        <w:t xml:space="preserve">Alliance for Excellent Education: Definition of Digital Learning </w:t>
      </w:r>
      <w:hyperlink r:id="rId6" w:history="1">
        <w:r>
          <w:rPr>
            <w:rStyle w:val="Hyperlink"/>
            <w:rFonts w:ascii="Calibri" w:eastAsia="Times New Roman" w:hAnsi="Calibri"/>
            <w:sz w:val="22"/>
            <w:szCs w:val="22"/>
          </w:rPr>
          <w:t>http://www.digitallearningday.org/about-us/digital-learning-definition/</w:t>
        </w:r>
      </w:hyperlink>
      <w:r>
        <w:rPr>
          <w:rFonts w:ascii="Calibri" w:eastAsia="Times New Roman" w:hAnsi="Calibri"/>
          <w:sz w:val="22"/>
          <w:szCs w:val="22"/>
        </w:rPr>
        <w:br/>
      </w:r>
      <w:r>
        <w:rPr>
          <w:rFonts w:ascii="Calibri" w:eastAsia="Times New Roman" w:hAnsi="Calibri"/>
          <w:sz w:val="22"/>
          <w:szCs w:val="22"/>
        </w:rPr>
        <w:br/>
        <w:t xml:space="preserve">Project Red Research: Student Achievement, Digital Learning and 1:1 Technologies </w:t>
      </w:r>
      <w:hyperlink r:id="rId7" w:history="1">
        <w:r>
          <w:rPr>
            <w:rStyle w:val="Hyperlink"/>
            <w:rFonts w:ascii="Calibri" w:eastAsia="Times New Roman" w:hAnsi="Calibri"/>
            <w:sz w:val="22"/>
            <w:szCs w:val="22"/>
          </w:rPr>
          <w:t>http://www.projectred.org/about/research-overview.html</w:t>
        </w:r>
      </w:hyperlink>
      <w:r>
        <w:rPr>
          <w:rFonts w:ascii="Calibri" w:eastAsia="Times New Roman" w:hAnsi="Calibri"/>
          <w:sz w:val="22"/>
          <w:szCs w:val="22"/>
        </w:rPr>
        <w:br/>
      </w:r>
      <w:r>
        <w:rPr>
          <w:rFonts w:ascii="Calibri" w:eastAsia="Times New Roman" w:hAnsi="Calibri"/>
          <w:sz w:val="22"/>
          <w:szCs w:val="22"/>
        </w:rPr>
        <w:br/>
        <w:t xml:space="preserve">Project Tomorrow: Speak Up survey data and reports from parents, educators, and students. We are a participating school division. </w:t>
      </w:r>
      <w:hyperlink r:id="rId8" w:history="1">
        <w:r>
          <w:rPr>
            <w:rStyle w:val="Hyperlink"/>
            <w:rFonts w:ascii="Calibri" w:eastAsia="Times New Roman" w:hAnsi="Calibri"/>
            <w:sz w:val="22"/>
            <w:szCs w:val="22"/>
          </w:rPr>
          <w:t>http://www.tomorrow.org/speakup/speakup_reports.html</w:t>
        </w:r>
      </w:hyperlink>
      <w:r>
        <w:rPr>
          <w:rFonts w:ascii="Calibri" w:eastAsia="Times New Roman" w:hAnsi="Calibri"/>
          <w:sz w:val="22"/>
          <w:szCs w:val="22"/>
        </w:rPr>
        <w:t xml:space="preserve"> and </w:t>
      </w:r>
      <w:hyperlink r:id="rId9" w:history="1">
        <w:r>
          <w:rPr>
            <w:rStyle w:val="Hyperlink"/>
            <w:rFonts w:ascii="Calibri" w:eastAsia="Times New Roman" w:hAnsi="Calibri"/>
            <w:sz w:val="22"/>
            <w:szCs w:val="22"/>
          </w:rPr>
          <w:t>http://www.tomorrow.org/speakup/pr/SU12_June_PR.html</w:t>
        </w:r>
      </w:hyperlink>
      <w:r>
        <w:rPr>
          <w:rFonts w:ascii="Calibri" w:eastAsia="Times New Roman" w:hAnsi="Calibri"/>
          <w:sz w:val="22"/>
          <w:szCs w:val="22"/>
        </w:rPr>
        <w:br/>
      </w:r>
      <w:r>
        <w:rPr>
          <w:rFonts w:ascii="Calibri" w:eastAsia="Times New Roman" w:hAnsi="Calibri"/>
          <w:sz w:val="22"/>
          <w:szCs w:val="22"/>
        </w:rPr>
        <w:br/>
        <w:t>International Society for Technology in Education: Essential Conditions for Digital Learning  </w:t>
      </w:r>
      <w:hyperlink r:id="rId10" w:history="1">
        <w:r>
          <w:rPr>
            <w:rStyle w:val="Hyperlink"/>
            <w:rFonts w:ascii="Calibri" w:eastAsia="Times New Roman" w:hAnsi="Calibri"/>
            <w:sz w:val="22"/>
            <w:szCs w:val="22"/>
          </w:rPr>
          <w:t>http://www.iste.org/docs/pdfs/netsessentialconditions.pdf?sfvrsn=2</w:t>
        </w:r>
      </w:hyperlink>
      <w:r>
        <w:rPr>
          <w:rFonts w:ascii="Calibri" w:eastAsia="Times New Roman" w:hAnsi="Calibri"/>
          <w:sz w:val="22"/>
          <w:szCs w:val="22"/>
        </w:rPr>
        <w:br/>
      </w:r>
      <w:r>
        <w:rPr>
          <w:rFonts w:ascii="Calibri" w:eastAsia="Times New Roman" w:hAnsi="Calibri"/>
          <w:sz w:val="22"/>
          <w:szCs w:val="22"/>
        </w:rPr>
        <w:br/>
        <w:t xml:space="preserve">International Society for Technology in Education:  Administrative Standards for Digital Learning </w:t>
      </w:r>
      <w:hyperlink r:id="rId11" w:history="1">
        <w:r>
          <w:rPr>
            <w:rStyle w:val="Hyperlink"/>
            <w:rFonts w:ascii="Calibri" w:eastAsia="Times New Roman" w:hAnsi="Calibri"/>
            <w:sz w:val="22"/>
            <w:szCs w:val="22"/>
          </w:rPr>
          <w:t>http://www.youtube.com/watch?v=A8yQPoTcZ78</w:t>
        </w:r>
      </w:hyperlink>
      <w:r>
        <w:rPr>
          <w:rFonts w:ascii="Calibri" w:eastAsia="Times New Roman" w:hAnsi="Calibri"/>
          <w:sz w:val="22"/>
          <w:szCs w:val="22"/>
        </w:rPr>
        <w:br/>
      </w:r>
      <w:r>
        <w:rPr>
          <w:rFonts w:ascii="Calibri" w:eastAsia="Times New Roman" w:hAnsi="Calibri"/>
          <w:sz w:val="22"/>
          <w:szCs w:val="22"/>
        </w:rPr>
        <w:br/>
        <w:t>International Society for Technology in Education: Teacher Standards for Digital Learning  </w:t>
      </w:r>
      <w:hyperlink r:id="rId12" w:history="1">
        <w:r>
          <w:rPr>
            <w:rStyle w:val="Hyperlink"/>
            <w:rFonts w:ascii="Calibri" w:eastAsia="Times New Roman" w:hAnsi="Calibri"/>
            <w:sz w:val="22"/>
            <w:szCs w:val="22"/>
          </w:rPr>
          <w:t>http://www.iste.org/docs/pdfs/nets-t-standards.pdf?sfvrsn=2</w:t>
        </w:r>
      </w:hyperlink>
      <w:r>
        <w:rPr>
          <w:rFonts w:ascii="Calibri" w:eastAsia="Times New Roman" w:hAnsi="Calibri"/>
          <w:sz w:val="22"/>
          <w:szCs w:val="22"/>
        </w:rPr>
        <w:t xml:space="preserve"> </w:t>
      </w:r>
      <w:r>
        <w:rPr>
          <w:rFonts w:ascii="Calibri" w:eastAsia="Times New Roman" w:hAnsi="Calibri"/>
          <w:sz w:val="22"/>
          <w:szCs w:val="22"/>
        </w:rPr>
        <w:br/>
      </w:r>
      <w:r>
        <w:rPr>
          <w:rFonts w:ascii="Calibri" w:eastAsia="Times New Roman" w:hAnsi="Calibri"/>
          <w:sz w:val="22"/>
          <w:szCs w:val="22"/>
        </w:rPr>
        <w:br/>
        <w:t xml:space="preserve">Digital Citizenship: Nine Themes of Digital Citizenship </w:t>
      </w:r>
      <w:hyperlink r:id="rId13" w:history="1">
        <w:r>
          <w:rPr>
            <w:rStyle w:val="Hyperlink"/>
            <w:rFonts w:ascii="Calibri" w:eastAsia="Times New Roman" w:hAnsi="Calibri"/>
            <w:sz w:val="22"/>
            <w:szCs w:val="22"/>
          </w:rPr>
          <w:t>http://www.digitalcitizenship.net/Nine_Elements.html</w:t>
        </w:r>
      </w:hyperlink>
      <w:r>
        <w:rPr>
          <w:rFonts w:ascii="Calibri" w:eastAsia="Times New Roman" w:hAnsi="Calibri"/>
          <w:sz w:val="22"/>
          <w:szCs w:val="22"/>
        </w:rPr>
        <w:br/>
      </w:r>
      <w:r>
        <w:rPr>
          <w:rFonts w:ascii="Calibri" w:eastAsia="Times New Roman" w:hAnsi="Calibri"/>
          <w:sz w:val="22"/>
          <w:szCs w:val="22"/>
        </w:rPr>
        <w:br/>
        <w:t xml:space="preserve">Doug </w:t>
      </w:r>
      <w:proofErr w:type="spellStart"/>
      <w:r>
        <w:rPr>
          <w:rFonts w:ascii="Calibri" w:eastAsia="Times New Roman" w:hAnsi="Calibri"/>
          <w:sz w:val="22"/>
          <w:szCs w:val="22"/>
        </w:rPr>
        <w:t>Belshaw</w:t>
      </w:r>
      <w:proofErr w:type="spellEnd"/>
      <w:r>
        <w:rPr>
          <w:rFonts w:ascii="Calibri" w:eastAsia="Times New Roman" w:hAnsi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/>
          <w:sz w:val="22"/>
          <w:szCs w:val="22"/>
        </w:rPr>
        <w:t>TedTalk</w:t>
      </w:r>
      <w:proofErr w:type="spellEnd"/>
      <w:r>
        <w:rPr>
          <w:rFonts w:ascii="Calibri" w:eastAsia="Times New Roman" w:hAnsi="Calibri"/>
          <w:sz w:val="22"/>
          <w:szCs w:val="22"/>
        </w:rPr>
        <w:t xml:space="preserve">: The Essential Elements of Digital Literacy </w:t>
      </w:r>
      <w:hyperlink r:id="rId14" w:history="1">
        <w:r>
          <w:rPr>
            <w:rStyle w:val="Hyperlink"/>
            <w:rFonts w:ascii="Calibri" w:eastAsia="Times New Roman" w:hAnsi="Calibri"/>
            <w:sz w:val="22"/>
            <w:szCs w:val="22"/>
          </w:rPr>
          <w:t>http://www.youtube.com/watch?v=A8yQPoTcZ78</w:t>
        </w:r>
      </w:hyperlink>
      <w:r>
        <w:rPr>
          <w:rFonts w:ascii="Calibri" w:eastAsia="Times New Roman" w:hAnsi="Calibri"/>
          <w:sz w:val="22"/>
          <w:szCs w:val="22"/>
        </w:rPr>
        <w:br/>
      </w:r>
      <w:r>
        <w:rPr>
          <w:rFonts w:ascii="Calibri" w:eastAsia="Times New Roman" w:hAnsi="Calibri"/>
          <w:sz w:val="22"/>
          <w:szCs w:val="22"/>
        </w:rPr>
        <w:br/>
      </w:r>
    </w:p>
    <w:p w:rsidR="009A241A" w:rsidRDefault="009A241A">
      <w:bookmarkStart w:id="0" w:name="_GoBack"/>
      <w:bookmarkEnd w:id="0"/>
    </w:p>
    <w:sectPr w:rsidR="009A24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20C"/>
    <w:rsid w:val="005D220C"/>
    <w:rsid w:val="009A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20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22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20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22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1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morrow.org/speakup/speakup_reports.html" TargetMode="External"/><Relationship Id="rId13" Type="http://schemas.openxmlformats.org/officeDocument/2006/relationships/hyperlink" Target="http://www.digitalcitizenship.net/Nine_Element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jectred.org/about/research-overview.html" TargetMode="External"/><Relationship Id="rId12" Type="http://schemas.openxmlformats.org/officeDocument/2006/relationships/hyperlink" Target="http://www.iste.org/docs/pdfs/nets-t-standards.pdf?sfvrsn=2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digitallearningday.org/about-us/digital-learning-definition/" TargetMode="External"/><Relationship Id="rId11" Type="http://schemas.openxmlformats.org/officeDocument/2006/relationships/hyperlink" Target="http://www.youtube.com/watch?v=A8yQPoTcZ78" TargetMode="External"/><Relationship Id="rId5" Type="http://schemas.openxmlformats.org/officeDocument/2006/relationships/hyperlink" Target="http://www.forbes.com/sites/singularity/2012/06/25/most-innovative-decade-in-history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iste.org/docs/pdfs/netsessentialconditions.pdf?sfvrsn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morrow.org/speakup/pr/SU12_June_PR.html" TargetMode="External"/><Relationship Id="rId14" Type="http://schemas.openxmlformats.org/officeDocument/2006/relationships/hyperlink" Target="http://www.youtube.com/watch?v=A8yQPoTcZ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Technology</dc:creator>
  <cp:lastModifiedBy>Office of Technology</cp:lastModifiedBy>
  <cp:revision>1</cp:revision>
  <dcterms:created xsi:type="dcterms:W3CDTF">2013-06-10T11:48:00Z</dcterms:created>
  <dcterms:modified xsi:type="dcterms:W3CDTF">2013-06-10T11:48:00Z</dcterms:modified>
</cp:coreProperties>
</file>